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2D709" w14:textId="066D290B" w:rsidR="000366F9" w:rsidRPr="003D669F" w:rsidRDefault="00DA1122" w:rsidP="00675F1A">
      <w:pPr>
        <w:pStyle w:val="TdocHeader2"/>
        <w:tabs>
          <w:tab w:val="clear" w:pos="1701"/>
        </w:tabs>
        <w:jc w:val="left"/>
        <w:rPr>
          <w:rFonts w:ascii="Calibri" w:eastAsiaTheme="minorEastAsia" w:hAnsi="Calibri" w:cs="Calibri"/>
          <w:bCs/>
          <w:noProof/>
          <w:sz w:val="24"/>
          <w:szCs w:val="24"/>
          <w:highlight w:val="yellow"/>
          <w:lang w:val="en-US" w:eastAsia="ja-JP"/>
        </w:rPr>
      </w:pPr>
      <w:bookmarkStart w:id="0" w:name="_Hlk53839822"/>
      <w:bookmarkStart w:id="1" w:name="OLE_LINK1"/>
      <w:bookmarkStart w:id="2" w:name="OLE_LINK2"/>
      <w:bookmarkEnd w:id="0"/>
      <w:r w:rsidRPr="00DA1122">
        <w:rPr>
          <w:rFonts w:ascii="Calibri" w:eastAsia="Times New Roman" w:hAnsi="Calibri" w:cs="Calibri"/>
          <w:bCs/>
          <w:noProof/>
          <w:sz w:val="24"/>
          <w:szCs w:val="24"/>
          <w:lang w:val="en-US" w:eastAsia="zh-CN"/>
        </w:rPr>
        <w:t>3GPP TSG-RAN</w:t>
      </w:r>
      <w:r w:rsidR="001F3BB1">
        <w:rPr>
          <w:rFonts w:ascii="Calibri" w:eastAsia="SimSun" w:hAnsi="Calibri" w:cs="Calibri"/>
          <w:bCs/>
          <w:noProof/>
          <w:sz w:val="24"/>
          <w:szCs w:val="24"/>
          <w:lang w:val="en-US" w:eastAsia="zh-CN"/>
        </w:rPr>
        <w:t>3</w:t>
      </w:r>
      <w:r w:rsidRPr="00DA1122">
        <w:rPr>
          <w:rFonts w:ascii="Calibri" w:eastAsia="Times New Roman" w:hAnsi="Calibri" w:cs="Calibri"/>
          <w:bCs/>
          <w:noProof/>
          <w:sz w:val="24"/>
          <w:szCs w:val="24"/>
          <w:lang w:val="en-US" w:eastAsia="zh-CN"/>
        </w:rPr>
        <w:t xml:space="preserve"> WG Meeting #</w:t>
      </w:r>
      <w:r w:rsidR="0057588D" w:rsidRPr="00E95A59">
        <w:rPr>
          <w:rFonts w:ascii="Calibri" w:eastAsia="Times New Roman" w:hAnsi="Calibri" w:cs="Calibri"/>
          <w:bCs/>
          <w:noProof/>
          <w:sz w:val="24"/>
          <w:szCs w:val="24"/>
          <w:lang w:val="en-US" w:eastAsia="zh-CN"/>
        </w:rPr>
        <w:t>112</w:t>
      </w:r>
      <w:r w:rsidRPr="00E95A59">
        <w:rPr>
          <w:rFonts w:ascii="Calibri" w:eastAsia="Times New Roman" w:hAnsi="Calibri" w:cs="Calibri"/>
          <w:bCs/>
          <w:noProof/>
          <w:sz w:val="24"/>
          <w:szCs w:val="24"/>
          <w:lang w:val="en-US" w:eastAsia="zh-CN"/>
        </w:rPr>
        <w:t>-e</w:t>
      </w:r>
      <w:r w:rsidR="000366F9" w:rsidRPr="003D669F">
        <w:rPr>
          <w:rFonts w:ascii="Calibri" w:eastAsia="Times New Roman" w:hAnsi="Calibri" w:cs="Calibri"/>
          <w:bCs/>
          <w:noProof/>
          <w:sz w:val="24"/>
          <w:szCs w:val="24"/>
          <w:lang w:val="en-US" w:eastAsia="zh-CN"/>
        </w:rPr>
        <w:t xml:space="preserve">                                              </w:t>
      </w:r>
      <w:r w:rsidR="000366F9" w:rsidRPr="003D669F">
        <w:rPr>
          <w:rFonts w:ascii="Calibri" w:eastAsia="Times New Roman" w:hAnsi="Calibri" w:cs="Calibri"/>
          <w:bCs/>
          <w:noProof/>
          <w:sz w:val="24"/>
          <w:szCs w:val="24"/>
          <w:lang w:val="en-US" w:eastAsia="zh-CN"/>
        </w:rPr>
        <w:tab/>
      </w:r>
      <w:r w:rsidR="00272A3F">
        <w:rPr>
          <w:rFonts w:ascii="Calibri" w:eastAsiaTheme="minorEastAsia" w:hAnsi="Calibri" w:cs="Calibri" w:hint="eastAsia"/>
          <w:bCs/>
          <w:noProof/>
          <w:sz w:val="24"/>
          <w:szCs w:val="24"/>
          <w:lang w:val="en-US" w:eastAsia="ja-JP"/>
        </w:rPr>
        <w:t xml:space="preserve">　　　　　　　　</w:t>
      </w:r>
      <w:r w:rsidR="005E2C22">
        <w:rPr>
          <w:rFonts w:ascii="Calibri" w:eastAsiaTheme="minorEastAsia" w:hAnsi="Calibri" w:cs="Calibri" w:hint="eastAsia"/>
          <w:bCs/>
          <w:noProof/>
          <w:sz w:val="24"/>
          <w:szCs w:val="24"/>
          <w:lang w:val="en-US" w:eastAsia="ja-JP"/>
        </w:rPr>
        <w:t xml:space="preserve">    </w:t>
      </w:r>
      <w:r w:rsidR="006B64F0">
        <w:rPr>
          <w:rFonts w:ascii="Calibri" w:eastAsiaTheme="minorEastAsia" w:hAnsi="Calibri" w:cs="Calibri" w:hint="eastAsia"/>
          <w:bCs/>
          <w:noProof/>
          <w:sz w:val="24"/>
          <w:szCs w:val="24"/>
          <w:lang w:val="en-US" w:eastAsia="ja-JP"/>
        </w:rPr>
        <w:t xml:space="preserve">　</w:t>
      </w:r>
      <w:r w:rsidR="009E260B">
        <w:rPr>
          <w:rFonts w:ascii="Calibri" w:eastAsiaTheme="minorEastAsia" w:hAnsi="Calibri" w:cs="Calibri" w:hint="eastAsia"/>
          <w:bCs/>
          <w:noProof/>
          <w:sz w:val="24"/>
          <w:szCs w:val="24"/>
          <w:lang w:val="en-US" w:eastAsia="ja-JP"/>
        </w:rPr>
        <w:t xml:space="preserve"> </w:t>
      </w:r>
      <w:r w:rsidR="009E260B">
        <w:rPr>
          <w:rFonts w:ascii="Calibri" w:eastAsiaTheme="minorEastAsia" w:hAnsi="Calibri" w:cs="Calibri"/>
          <w:bCs/>
          <w:noProof/>
          <w:sz w:val="24"/>
          <w:szCs w:val="24"/>
          <w:lang w:val="en-US" w:eastAsia="ja-JP"/>
        </w:rPr>
        <w:t xml:space="preserve">       </w:t>
      </w:r>
      <w:r w:rsidR="00643E41" w:rsidRPr="00643E41">
        <w:rPr>
          <w:rFonts w:ascii="Calibri" w:eastAsiaTheme="minorEastAsia" w:hAnsi="Calibri" w:cs="Calibri"/>
          <w:bCs/>
          <w:noProof/>
          <w:sz w:val="24"/>
          <w:szCs w:val="24"/>
          <w:lang w:val="en-US" w:eastAsia="ja-JP"/>
        </w:rPr>
        <w:t>R3-212122</w:t>
      </w:r>
    </w:p>
    <w:p w14:paraId="2EC06975" w14:textId="10CA09BE" w:rsidR="009E3446" w:rsidRPr="003D669F" w:rsidRDefault="00DA1122" w:rsidP="002F4A4E">
      <w:pPr>
        <w:pStyle w:val="TdocHeader2"/>
        <w:spacing w:afterLines="50" w:after="120"/>
        <w:rPr>
          <w:rFonts w:ascii="Calibri" w:eastAsiaTheme="minorEastAsia" w:hAnsi="Calibri" w:cs="Calibri"/>
          <w:sz w:val="24"/>
          <w:szCs w:val="24"/>
          <w:lang w:val="en-US" w:eastAsia="ja-JP"/>
        </w:rPr>
      </w:pPr>
      <w:r w:rsidRPr="00DA1122">
        <w:rPr>
          <w:rFonts w:ascii="Calibri" w:eastAsiaTheme="minorEastAsia" w:hAnsi="Calibri" w:cs="Calibri"/>
          <w:bCs/>
          <w:noProof/>
          <w:sz w:val="24"/>
          <w:szCs w:val="24"/>
          <w:lang w:val="en-US" w:eastAsia="ja-JP"/>
        </w:rPr>
        <w:t xml:space="preserve">Online, </w:t>
      </w:r>
      <w:r w:rsidR="0057588D">
        <w:rPr>
          <w:rFonts w:ascii="Calibri" w:eastAsiaTheme="minorEastAsia" w:hAnsi="Calibri" w:cs="Calibri"/>
          <w:bCs/>
          <w:noProof/>
          <w:sz w:val="24"/>
          <w:szCs w:val="24"/>
          <w:lang w:val="en-US" w:eastAsia="ja-JP"/>
        </w:rPr>
        <w:t>May</w:t>
      </w:r>
      <w:r w:rsidRPr="00DA1122">
        <w:rPr>
          <w:rFonts w:ascii="Calibri" w:eastAsiaTheme="minorEastAsia" w:hAnsi="Calibri" w:cs="Calibri"/>
          <w:bCs/>
          <w:noProof/>
          <w:sz w:val="24"/>
          <w:szCs w:val="24"/>
          <w:lang w:val="en-US" w:eastAsia="ja-JP"/>
        </w:rPr>
        <w:t xml:space="preserve"> </w:t>
      </w:r>
      <w:r w:rsidR="0057588D">
        <w:rPr>
          <w:rFonts w:ascii="Calibri" w:eastAsiaTheme="minorEastAsia" w:hAnsi="Calibri" w:cs="Calibri"/>
          <w:bCs/>
          <w:noProof/>
          <w:sz w:val="24"/>
          <w:szCs w:val="24"/>
          <w:lang w:val="en-US" w:eastAsia="ja-JP"/>
        </w:rPr>
        <w:t>17</w:t>
      </w:r>
      <w:r w:rsidRPr="00DA1122">
        <w:rPr>
          <w:rFonts w:ascii="Calibri" w:eastAsiaTheme="minorEastAsia" w:hAnsi="Calibri" w:cs="Calibri"/>
          <w:bCs/>
          <w:noProof/>
          <w:sz w:val="24"/>
          <w:szCs w:val="24"/>
          <w:lang w:val="en-US" w:eastAsia="ja-JP"/>
        </w:rPr>
        <w:t>th –</w:t>
      </w:r>
      <w:r w:rsidR="001F3BB1">
        <w:rPr>
          <w:rFonts w:ascii="Calibri" w:eastAsiaTheme="minorEastAsia" w:hAnsi="Calibri" w:cs="Calibri"/>
          <w:bCs/>
          <w:noProof/>
          <w:sz w:val="24"/>
          <w:szCs w:val="24"/>
          <w:lang w:val="en-US" w:eastAsia="ja-JP"/>
        </w:rPr>
        <w:t xml:space="preserve"> </w:t>
      </w:r>
      <w:r w:rsidR="0057588D">
        <w:rPr>
          <w:rFonts w:ascii="Calibri" w:eastAsiaTheme="minorEastAsia" w:hAnsi="Calibri" w:cs="Calibri"/>
          <w:bCs/>
          <w:noProof/>
          <w:sz w:val="24"/>
          <w:szCs w:val="24"/>
          <w:lang w:val="en-US" w:eastAsia="ja-JP"/>
        </w:rPr>
        <w:t>May</w:t>
      </w:r>
      <w:r w:rsidRPr="00DA1122">
        <w:rPr>
          <w:rFonts w:ascii="Calibri" w:eastAsiaTheme="minorEastAsia" w:hAnsi="Calibri" w:cs="Calibri"/>
          <w:bCs/>
          <w:noProof/>
          <w:sz w:val="24"/>
          <w:szCs w:val="24"/>
          <w:lang w:val="en-US" w:eastAsia="ja-JP"/>
        </w:rPr>
        <w:t xml:space="preserve"> </w:t>
      </w:r>
      <w:r w:rsidR="0057588D">
        <w:rPr>
          <w:rFonts w:ascii="Calibri" w:eastAsiaTheme="minorEastAsia" w:hAnsi="Calibri" w:cs="Calibri"/>
          <w:bCs/>
          <w:noProof/>
          <w:sz w:val="24"/>
          <w:szCs w:val="24"/>
          <w:lang w:val="en-US" w:eastAsia="ja-JP"/>
        </w:rPr>
        <w:t>28th 2021</w:t>
      </w:r>
    </w:p>
    <w:p w14:paraId="269A8AA4" w14:textId="77777777" w:rsidR="00A434AF" w:rsidRPr="003D669F" w:rsidRDefault="00A434AF" w:rsidP="00675F1A">
      <w:pPr>
        <w:pStyle w:val="TdocHeader2"/>
        <w:tabs>
          <w:tab w:val="clear" w:pos="1701"/>
          <w:tab w:val="left" w:pos="1577"/>
        </w:tabs>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KDDI </w:t>
      </w:r>
      <w:r w:rsidRPr="003D669F">
        <w:rPr>
          <w:rFonts w:ascii="Calibri" w:eastAsiaTheme="minorEastAsia" w:hAnsi="Calibri" w:cs="Calibri"/>
          <w:sz w:val="24"/>
          <w:szCs w:val="24"/>
          <w:lang w:val="en-US" w:eastAsia="ja-JP"/>
        </w:rPr>
        <w:t>Corporation</w:t>
      </w:r>
    </w:p>
    <w:p w14:paraId="11C586F4" w14:textId="30B105AF" w:rsidR="00A434AF" w:rsidRPr="007E124F" w:rsidRDefault="00A434AF" w:rsidP="00675F1A">
      <w:pPr>
        <w:pStyle w:val="TdocHeader2"/>
        <w:tabs>
          <w:tab w:val="clear" w:pos="1701"/>
          <w:tab w:val="left" w:pos="1577"/>
        </w:tabs>
        <w:rPr>
          <w:rFonts w:ascii="Calibri" w:eastAsiaTheme="minorEastAsia" w:hAnsi="Calibri" w:cs="Calibri"/>
          <w:sz w:val="24"/>
          <w:szCs w:val="24"/>
          <w:lang w:val="en-US" w:eastAsia="ja-JP"/>
        </w:rPr>
      </w:pPr>
      <w:r w:rsidRPr="003D669F">
        <w:rPr>
          <w:rFonts w:ascii="Calibri" w:hAnsi="Calibri" w:cs="Calibri"/>
          <w:sz w:val="24"/>
          <w:szCs w:val="24"/>
          <w:lang w:val="en-US"/>
        </w:rPr>
        <w:t>Title:</w:t>
      </w:r>
      <w:r w:rsidRPr="003D669F">
        <w:rPr>
          <w:rFonts w:ascii="Calibri" w:hAnsi="Calibri" w:cs="Calibri"/>
          <w:sz w:val="24"/>
          <w:szCs w:val="24"/>
          <w:lang w:val="en-US"/>
        </w:rPr>
        <w:tab/>
      </w:r>
      <w:r w:rsidR="007039FB" w:rsidRPr="007039FB">
        <w:rPr>
          <w:rFonts w:ascii="Calibri" w:hAnsi="Calibri" w:cs="Calibri"/>
          <w:sz w:val="24"/>
          <w:szCs w:val="24"/>
          <w:lang w:val="en-US"/>
        </w:rPr>
        <w:t>Consideration</w:t>
      </w:r>
      <w:r w:rsidR="00BE69EE">
        <w:rPr>
          <w:rFonts w:ascii="Calibri" w:hAnsi="Calibri" w:cs="Calibri"/>
          <w:sz w:val="24"/>
          <w:szCs w:val="24"/>
          <w:lang w:val="en-US"/>
        </w:rPr>
        <w:t>s</w:t>
      </w:r>
      <w:r w:rsidR="007039FB" w:rsidRPr="007039FB">
        <w:rPr>
          <w:rFonts w:ascii="Calibri" w:hAnsi="Calibri" w:cs="Calibri"/>
          <w:sz w:val="24"/>
          <w:szCs w:val="24"/>
          <w:lang w:val="en-US"/>
        </w:rPr>
        <w:t xml:space="preserve"> </w:t>
      </w:r>
      <w:r w:rsidR="007039FB" w:rsidRPr="00E95A59">
        <w:rPr>
          <w:rFonts w:ascii="Calibri" w:hAnsi="Calibri" w:cs="Calibri"/>
          <w:sz w:val="24"/>
          <w:szCs w:val="24"/>
          <w:lang w:val="en-US"/>
        </w:rPr>
        <w:t xml:space="preserve">on </w:t>
      </w:r>
      <w:r w:rsidR="00C84239" w:rsidRPr="00E95A59">
        <w:rPr>
          <w:rFonts w:ascii="Calibri" w:hAnsi="Calibri" w:cs="Calibri"/>
          <w:sz w:val="24"/>
          <w:szCs w:val="24"/>
          <w:lang w:val="en-US"/>
        </w:rPr>
        <w:t>inter-donor IAB migration</w:t>
      </w:r>
    </w:p>
    <w:p w14:paraId="61D6FC28" w14:textId="77777777" w:rsidR="00A434AF" w:rsidRPr="003D669F" w:rsidRDefault="00A434AF" w:rsidP="00675F1A">
      <w:pPr>
        <w:pStyle w:val="TdocHeader2"/>
        <w:tabs>
          <w:tab w:val="clear" w:pos="1701"/>
          <w:tab w:val="clear" w:pos="9072"/>
          <w:tab w:val="clear" w:pos="10206"/>
          <w:tab w:val="left" w:pos="1577"/>
          <w:tab w:val="left" w:pos="3390"/>
        </w:tabs>
        <w:rPr>
          <w:rFonts w:ascii="Calibri" w:eastAsiaTheme="minorEastAsia" w:hAnsi="Calibri" w:cs="Calibri"/>
          <w:sz w:val="24"/>
          <w:szCs w:val="24"/>
          <w:lang w:val="en-US" w:eastAsia="ja-JP"/>
        </w:rPr>
      </w:pPr>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14:paraId="0F94693E" w14:textId="3A079698" w:rsidR="00A434AF" w:rsidRPr="00B44F2F" w:rsidRDefault="00A434AF" w:rsidP="00675F1A">
      <w:pPr>
        <w:pStyle w:val="TdocHeader2"/>
        <w:tabs>
          <w:tab w:val="clear" w:pos="1701"/>
          <w:tab w:val="left" w:pos="1577"/>
        </w:tabs>
        <w:rPr>
          <w:rFonts w:ascii="Calibri" w:eastAsiaTheme="minorEastAsia" w:hAnsi="Calibri" w:cs="Calibri"/>
          <w:sz w:val="24"/>
          <w:szCs w:val="24"/>
          <w:lang w:val="en-US" w:eastAsia="ja-JP"/>
        </w:rPr>
      </w:pPr>
      <w:r w:rsidRPr="003D669F">
        <w:rPr>
          <w:rFonts w:ascii="Calibri" w:hAnsi="Calibri" w:cs="Calibri"/>
          <w:sz w:val="24"/>
          <w:szCs w:val="24"/>
          <w:lang w:val="en-US"/>
        </w:rPr>
        <w:t>Agenda Item:</w:t>
      </w:r>
      <w:r w:rsidRPr="003D669F">
        <w:rPr>
          <w:rFonts w:ascii="Calibri" w:hAnsi="Calibri" w:cs="Calibri"/>
          <w:sz w:val="24"/>
          <w:szCs w:val="24"/>
          <w:lang w:val="en-US"/>
        </w:rPr>
        <w:tab/>
      </w:r>
      <w:r w:rsidR="00A84DBD" w:rsidRPr="00E95A59">
        <w:rPr>
          <w:rFonts w:ascii="Calibri" w:hAnsi="Calibri" w:cs="Calibri"/>
          <w:sz w:val="24"/>
          <w:szCs w:val="24"/>
          <w:lang w:val="en-US"/>
        </w:rPr>
        <w:t>13.2.1</w:t>
      </w:r>
      <w:r w:rsidR="00643E41" w:rsidRPr="00E95A59">
        <w:rPr>
          <w:rFonts w:ascii="Calibri" w:hAnsi="Calibri" w:cs="Calibri"/>
          <w:sz w:val="24"/>
          <w:szCs w:val="24"/>
          <w:lang w:val="en-US"/>
        </w:rPr>
        <w:t>.1</w:t>
      </w:r>
      <w:r w:rsidR="007039FB" w:rsidRPr="00E95A59">
        <w:rPr>
          <w:rFonts w:ascii="Calibri" w:hAnsi="Calibri" w:cs="Calibri"/>
          <w:sz w:val="24"/>
          <w:szCs w:val="24"/>
          <w:lang w:val="en-US"/>
        </w:rPr>
        <w:t xml:space="preserve"> Inter-Donor IAB Node Migration</w:t>
      </w:r>
    </w:p>
    <w:p w14:paraId="4B9639C7" w14:textId="77777777" w:rsidR="00A434AF" w:rsidRPr="003D669F" w:rsidRDefault="00A434AF" w:rsidP="00675F1A">
      <w:pPr>
        <w:pStyle w:val="TdocHeader2"/>
        <w:tabs>
          <w:tab w:val="clear" w:pos="1701"/>
          <w:tab w:val="left" w:pos="1577"/>
        </w:tabs>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14:paraId="5D33615B" w14:textId="77777777" w:rsidR="00A434AF" w:rsidRPr="003D669F" w:rsidRDefault="00495736" w:rsidP="00675F1A">
      <w:pPr>
        <w:pStyle w:val="TdocHeader2"/>
        <w:tabs>
          <w:tab w:val="clear" w:pos="1701"/>
          <w:tab w:val="left" w:pos="1577"/>
        </w:tabs>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1F3BB1">
        <w:rPr>
          <w:rFonts w:ascii="Calibri" w:eastAsiaTheme="minorEastAsia" w:hAnsi="Calibri" w:cs="Calibri"/>
          <w:sz w:val="24"/>
          <w:szCs w:val="24"/>
          <w:lang w:val="en-US" w:eastAsia="ja-JP"/>
        </w:rPr>
        <w:t>7</w:t>
      </w:r>
    </w:p>
    <w:bookmarkEnd w:id="1"/>
    <w:bookmarkEnd w:id="2"/>
    <w:p w14:paraId="172AC6A3" w14:textId="77777777" w:rsidR="006A1A84" w:rsidRPr="00201FC5" w:rsidRDefault="00B4399F" w:rsidP="000E00F6">
      <w:pPr>
        <w:pStyle w:val="1"/>
        <w:spacing w:after="120"/>
        <w:ind w:left="431" w:hanging="431"/>
        <w:textAlignment w:val="auto"/>
        <w:rPr>
          <w:rFonts w:ascii="Calibri" w:hAnsi="Calibri" w:cs="Calibri"/>
          <w:lang w:val="en-US"/>
        </w:rPr>
      </w:pPr>
      <w:r>
        <w:rPr>
          <w:rFonts w:ascii="Calibri" w:eastAsiaTheme="minorEastAsia" w:hAnsi="Calibri" w:cs="Calibri" w:hint="eastAsia"/>
          <w:lang w:val="en-US" w:eastAsia="ja-JP"/>
        </w:rPr>
        <w:t>Introduction</w:t>
      </w:r>
    </w:p>
    <w:p w14:paraId="201A0967" w14:textId="780B9C4A" w:rsidR="0057588D" w:rsidRDefault="0057588D" w:rsidP="0057588D">
      <w:pPr>
        <w:spacing w:after="240" w:line="300" w:lineRule="exact"/>
        <w:rPr>
          <w:rFonts w:ascii="Calibri" w:hAnsi="Calibri" w:cs="Calibri"/>
          <w:szCs w:val="24"/>
          <w:lang w:val="en-GB" w:eastAsia="ja-JP"/>
        </w:rPr>
      </w:pPr>
      <w:r>
        <w:rPr>
          <w:rFonts w:ascii="Calibri" w:hAnsi="Calibri" w:cs="Calibri"/>
          <w:szCs w:val="24"/>
          <w:lang w:val="en-GB" w:eastAsia="ja-JP"/>
        </w:rPr>
        <w:t>In the last RAN3 meeting</w:t>
      </w:r>
      <w:r>
        <w:rPr>
          <w:rFonts w:ascii="Calibri" w:hAnsi="Calibri" w:cs="Calibri" w:hint="eastAsia"/>
          <w:szCs w:val="24"/>
          <w:lang w:val="en-GB" w:eastAsia="ja-JP"/>
        </w:rPr>
        <w:t>,</w:t>
      </w:r>
      <w:r w:rsidR="002B2347">
        <w:rPr>
          <w:rFonts w:ascii="Calibri" w:hAnsi="Calibri" w:cs="Calibri"/>
          <w:szCs w:val="24"/>
          <w:lang w:val="en-GB" w:eastAsia="ja-JP"/>
        </w:rPr>
        <w:t xml:space="preserve"> regarding the </w:t>
      </w:r>
      <w:r w:rsidR="00907786">
        <w:rPr>
          <w:rFonts w:ascii="Calibri" w:hAnsi="Calibri" w:cs="Calibri"/>
          <w:szCs w:val="24"/>
          <w:lang w:val="en-GB" w:eastAsia="ja-JP"/>
        </w:rPr>
        <w:t>IAB-MT migration procedure</w:t>
      </w:r>
      <w:r>
        <w:rPr>
          <w:rFonts w:ascii="Calibri" w:hAnsi="Calibri" w:cs="Calibri"/>
          <w:szCs w:val="24"/>
          <w:lang w:val="en-GB" w:eastAsia="ja-JP"/>
        </w:rPr>
        <w:t>, the following agreements were made:</w:t>
      </w:r>
    </w:p>
    <w:tbl>
      <w:tblPr>
        <w:tblStyle w:val="a9"/>
        <w:tblW w:w="0" w:type="auto"/>
        <w:tblLook w:val="04A0" w:firstRow="1" w:lastRow="0" w:firstColumn="1" w:lastColumn="0" w:noHBand="0" w:noVBand="1"/>
      </w:tblPr>
      <w:tblGrid>
        <w:gridCol w:w="10070"/>
      </w:tblGrid>
      <w:tr w:rsidR="00C84239" w14:paraId="17E049A2" w14:textId="77777777" w:rsidTr="00344CD7">
        <w:trPr>
          <w:trHeight w:val="4585"/>
        </w:trPr>
        <w:tc>
          <w:tcPr>
            <w:tcW w:w="10278" w:type="dxa"/>
          </w:tcPr>
          <w:p w14:paraId="4BAEEDAD" w14:textId="77777777" w:rsidR="00C84239" w:rsidRPr="005244F3" w:rsidRDefault="00C84239" w:rsidP="00C84239">
            <w:pPr>
              <w:widowControl w:val="0"/>
              <w:ind w:left="144" w:hanging="144"/>
              <w:rPr>
                <w:rFonts w:ascii="Calibri" w:hAnsi="Calibri" w:cs="Calibri"/>
                <w:b/>
                <w:bCs/>
                <w:color w:val="00B050"/>
                <w:sz w:val="18"/>
                <w:szCs w:val="24"/>
              </w:rPr>
            </w:pPr>
            <w:r w:rsidRPr="005244F3">
              <w:rPr>
                <w:rFonts w:ascii="Calibri" w:hAnsi="Calibri" w:cs="Calibri"/>
                <w:b/>
                <w:bCs/>
                <w:color w:val="00B050"/>
                <w:sz w:val="18"/>
                <w:szCs w:val="24"/>
              </w:rPr>
              <w:t>WA:</w:t>
            </w:r>
          </w:p>
          <w:p w14:paraId="10E0E768" w14:textId="77777777" w:rsidR="00C84239" w:rsidRPr="005244F3" w:rsidRDefault="00C84239" w:rsidP="00C84239">
            <w:pPr>
              <w:widowControl w:val="0"/>
              <w:ind w:left="144" w:hanging="144"/>
              <w:rPr>
                <w:rFonts w:ascii="Calibri" w:hAnsi="Calibri" w:cs="Calibri"/>
                <w:b/>
                <w:bCs/>
                <w:color w:val="00B050"/>
                <w:sz w:val="18"/>
                <w:szCs w:val="24"/>
              </w:rPr>
            </w:pPr>
            <w:r w:rsidRPr="005244F3">
              <w:rPr>
                <w:rFonts w:ascii="Calibri" w:hAnsi="Calibri" w:cs="Calibri"/>
                <w:b/>
                <w:bCs/>
                <w:color w:val="00B050"/>
                <w:sz w:val="18"/>
                <w:szCs w:val="24"/>
              </w:rPr>
              <w:t>migration of collocated IAB-DU after the migration of the (top-level) migrating IAB-MT, is not precluded</w:t>
            </w:r>
          </w:p>
          <w:p w14:paraId="1F1A474B" w14:textId="77777777" w:rsidR="00C84239" w:rsidRPr="005244F3" w:rsidRDefault="00C84239" w:rsidP="00C84239">
            <w:pPr>
              <w:widowControl w:val="0"/>
              <w:ind w:left="144" w:hanging="144"/>
              <w:rPr>
                <w:rFonts w:ascii="Calibri" w:hAnsi="Calibri" w:cs="Calibri"/>
                <w:b/>
                <w:bCs/>
                <w:color w:val="00B050"/>
                <w:sz w:val="18"/>
                <w:szCs w:val="24"/>
              </w:rPr>
            </w:pPr>
            <w:r w:rsidRPr="005244F3">
              <w:rPr>
                <w:rFonts w:ascii="Calibri" w:hAnsi="Calibri" w:cs="Calibri"/>
                <w:b/>
                <w:bCs/>
                <w:color w:val="00B050"/>
                <w:sz w:val="18"/>
                <w:szCs w:val="24"/>
              </w:rPr>
              <w:t xml:space="preserve">If collocated IAB-DU is migrated, the Inter-donor migration procedure involves, among others: </w:t>
            </w:r>
          </w:p>
          <w:p w14:paraId="4E2DB8CD" w14:textId="77777777" w:rsidR="00C84239" w:rsidRPr="005244F3" w:rsidRDefault="00C84239" w:rsidP="00C84239">
            <w:pPr>
              <w:widowControl w:val="0"/>
              <w:ind w:left="144" w:hanging="144"/>
              <w:rPr>
                <w:rFonts w:ascii="Calibri" w:hAnsi="Calibri" w:cs="Calibri"/>
                <w:b/>
                <w:bCs/>
                <w:color w:val="00B050"/>
                <w:sz w:val="18"/>
                <w:szCs w:val="24"/>
              </w:rPr>
            </w:pPr>
            <w:r w:rsidRPr="005244F3">
              <w:rPr>
                <w:rFonts w:ascii="Calibri" w:hAnsi="Calibri" w:cs="Calibri"/>
                <w:b/>
                <w:bCs/>
                <w:color w:val="00B050"/>
                <w:sz w:val="18"/>
                <w:szCs w:val="24"/>
              </w:rPr>
              <w:t xml:space="preserve">- the establishment of an F1-C association to the target donor, and </w:t>
            </w:r>
          </w:p>
          <w:p w14:paraId="4B175EEC" w14:textId="77777777" w:rsidR="00C84239" w:rsidRPr="005244F3" w:rsidRDefault="00C84239" w:rsidP="00C84239">
            <w:pPr>
              <w:widowControl w:val="0"/>
              <w:ind w:left="144" w:hanging="144"/>
              <w:rPr>
                <w:rFonts w:ascii="Calibri" w:hAnsi="Calibri" w:cs="Calibri"/>
                <w:b/>
                <w:bCs/>
                <w:color w:val="00B050"/>
                <w:sz w:val="18"/>
                <w:szCs w:val="24"/>
              </w:rPr>
            </w:pPr>
            <w:r w:rsidRPr="005244F3">
              <w:rPr>
                <w:rFonts w:ascii="Calibri" w:hAnsi="Calibri" w:cs="Calibri"/>
                <w:b/>
                <w:bCs/>
                <w:color w:val="00B050"/>
                <w:sz w:val="18"/>
                <w:szCs w:val="24"/>
              </w:rPr>
              <w:t>- the context migration of the IAB-DU’s UEs and child IAB-MTs to the target CU.</w:t>
            </w:r>
          </w:p>
          <w:p w14:paraId="5AA16464" w14:textId="77777777" w:rsidR="00C84239" w:rsidRPr="005244F3" w:rsidRDefault="00C84239" w:rsidP="00C84239">
            <w:pPr>
              <w:widowControl w:val="0"/>
              <w:ind w:left="144" w:hanging="144"/>
              <w:rPr>
                <w:rFonts w:ascii="Calibri" w:hAnsi="Calibri" w:cs="Calibri"/>
                <w:b/>
                <w:color w:val="0000FF"/>
                <w:sz w:val="18"/>
                <w:szCs w:val="24"/>
              </w:rPr>
            </w:pPr>
            <w:r w:rsidRPr="005244F3">
              <w:rPr>
                <w:rFonts w:ascii="Calibri" w:hAnsi="Calibri" w:cs="Calibri"/>
                <w:b/>
                <w:color w:val="0000FF"/>
                <w:sz w:val="18"/>
                <w:szCs w:val="24"/>
              </w:rPr>
              <w:t>To be confirmed: For inter-donor migration of the IAB-DU, the F1AP association to the target donor needs to be established while the F1AP association with the source donor still exists so that the RRC Reconfiguration messages to UEs and child-MTs can be delivered by the source IAB-donor while the RRC Reconfiguration Complete messages can be delivered to the target IAB-donor.</w:t>
            </w:r>
          </w:p>
          <w:p w14:paraId="7C95364D" w14:textId="77777777" w:rsidR="00C84239" w:rsidRPr="005244F3" w:rsidRDefault="00C84239" w:rsidP="00C84239">
            <w:pPr>
              <w:widowControl w:val="0"/>
              <w:rPr>
                <w:rFonts w:ascii="Calibri" w:hAnsi="Calibri" w:cs="Calibri"/>
                <w:b/>
                <w:color w:val="0000FF"/>
                <w:sz w:val="18"/>
                <w:szCs w:val="24"/>
              </w:rPr>
            </w:pPr>
            <w:r w:rsidRPr="005244F3">
              <w:rPr>
                <w:rFonts w:ascii="Calibri" w:hAnsi="Calibri" w:cs="Calibri"/>
                <w:b/>
                <w:color w:val="0000FF"/>
                <w:sz w:val="18"/>
                <w:szCs w:val="24"/>
              </w:rPr>
              <w:t>FFS how IAB-DU migration is triggered, how the source donor-CU knows if and when F1-C has been successfully established with the target donor-CU, and how the target cell ID indication in the UE HO Request is handled.</w:t>
            </w:r>
          </w:p>
          <w:p w14:paraId="03513059" w14:textId="77777777" w:rsidR="00C84239" w:rsidRPr="005244F3" w:rsidRDefault="00C84239" w:rsidP="00C84239">
            <w:pPr>
              <w:widowControl w:val="0"/>
              <w:ind w:left="144" w:hanging="144"/>
              <w:rPr>
                <w:rFonts w:ascii="Calibri" w:hAnsi="Calibri" w:cs="Calibri"/>
                <w:b/>
                <w:color w:val="0000FF"/>
                <w:sz w:val="18"/>
                <w:szCs w:val="24"/>
              </w:rPr>
            </w:pPr>
            <w:r w:rsidRPr="005244F3">
              <w:rPr>
                <w:rFonts w:ascii="Calibri" w:hAnsi="Calibri" w:cs="Calibri"/>
                <w:b/>
                <w:color w:val="0000FF"/>
                <w:sz w:val="18"/>
                <w:szCs w:val="24"/>
              </w:rPr>
              <w:t>What about migration of descendant IAB-DUs, IAB-MTs?</w:t>
            </w:r>
          </w:p>
          <w:p w14:paraId="5CB869EC" w14:textId="77777777" w:rsidR="00C84239" w:rsidRPr="005244F3" w:rsidRDefault="00C84239" w:rsidP="00C84239">
            <w:pPr>
              <w:widowControl w:val="0"/>
              <w:ind w:left="144" w:hanging="144"/>
              <w:rPr>
                <w:rFonts w:ascii="Calibri" w:hAnsi="Calibri" w:cs="Calibri"/>
                <w:b/>
                <w:color w:val="0000FF"/>
                <w:sz w:val="18"/>
                <w:szCs w:val="24"/>
              </w:rPr>
            </w:pPr>
            <w:r w:rsidRPr="005244F3">
              <w:rPr>
                <w:rFonts w:ascii="Calibri" w:hAnsi="Calibri" w:cs="Calibri"/>
                <w:b/>
                <w:color w:val="0000FF"/>
                <w:sz w:val="18"/>
                <w:szCs w:val="24"/>
              </w:rPr>
              <w:t>Whether to maintain same PCI and/or frequency during IAB-DU migration.</w:t>
            </w:r>
          </w:p>
          <w:p w14:paraId="5DD6E371" w14:textId="23ACB7F3" w:rsidR="00C84239" w:rsidRPr="007E3296" w:rsidRDefault="00C84239" w:rsidP="00251201">
            <w:pPr>
              <w:pStyle w:val="B1"/>
              <w:spacing w:after="0"/>
              <w:ind w:left="284" w:firstLine="0"/>
              <w:textAlignment w:val="auto"/>
              <w:rPr>
                <w:rFonts w:eastAsia="Times New Roman"/>
              </w:rPr>
            </w:pPr>
          </w:p>
        </w:tc>
      </w:tr>
    </w:tbl>
    <w:p w14:paraId="544D4BA2" w14:textId="77777777" w:rsidR="0057588D" w:rsidRPr="00460F1A" w:rsidRDefault="0057588D" w:rsidP="0057588D">
      <w:pPr>
        <w:widowControl w:val="0"/>
        <w:spacing w:after="0"/>
        <w:rPr>
          <w:rFonts w:ascii="Calibri" w:hAnsi="Calibri" w:cs="Calibri"/>
          <w:bCs/>
          <w:color w:val="00B050"/>
          <w:sz w:val="18"/>
          <w:szCs w:val="24"/>
        </w:rPr>
      </w:pPr>
    </w:p>
    <w:p w14:paraId="345B6191" w14:textId="03623045" w:rsidR="0057588D" w:rsidRPr="009B5897" w:rsidRDefault="0057588D" w:rsidP="0057588D">
      <w:pPr>
        <w:spacing w:after="240" w:line="300" w:lineRule="exact"/>
        <w:rPr>
          <w:rFonts w:ascii="Calibri" w:hAnsi="Calibri" w:cs="Calibri"/>
          <w:szCs w:val="24"/>
          <w:lang w:val="en-GB" w:eastAsia="ja-JP"/>
        </w:rPr>
      </w:pPr>
      <w:r>
        <w:rPr>
          <w:rFonts w:ascii="Calibri" w:hAnsi="Calibri" w:cs="Calibri" w:hint="eastAsia"/>
          <w:szCs w:val="24"/>
          <w:lang w:val="en-GB" w:eastAsia="ja-JP"/>
        </w:rPr>
        <w:t>I</w:t>
      </w:r>
      <w:r w:rsidR="00F1486F">
        <w:rPr>
          <w:rFonts w:ascii="Calibri" w:hAnsi="Calibri" w:cs="Calibri"/>
          <w:szCs w:val="24"/>
          <w:lang w:val="en-GB" w:eastAsia="ja-JP"/>
        </w:rPr>
        <w:t>n this contribution, we share our views on</w:t>
      </w:r>
      <w:r>
        <w:rPr>
          <w:rFonts w:ascii="Calibri" w:hAnsi="Calibri" w:cs="Calibri"/>
          <w:szCs w:val="24"/>
          <w:lang w:val="en-GB" w:eastAsia="ja-JP"/>
        </w:rPr>
        <w:t xml:space="preserve"> </w:t>
      </w:r>
      <w:r w:rsidR="005C53CB">
        <w:rPr>
          <w:rFonts w:ascii="Calibri" w:hAnsi="Calibri" w:cs="Calibri"/>
          <w:szCs w:val="24"/>
          <w:lang w:val="en-GB" w:eastAsia="ja-JP"/>
        </w:rPr>
        <w:t xml:space="preserve">the </w:t>
      </w:r>
      <w:r w:rsidR="002349C5">
        <w:rPr>
          <w:rFonts w:ascii="Calibri" w:hAnsi="Calibri" w:cs="Calibri"/>
          <w:szCs w:val="24"/>
          <w:lang w:val="en-GB" w:eastAsia="ja-JP"/>
        </w:rPr>
        <w:t>migration of collocated IAB-DU</w:t>
      </w:r>
      <w:r w:rsidR="00430B4C">
        <w:rPr>
          <w:rFonts w:ascii="Calibri" w:hAnsi="Calibri" w:cs="Calibri"/>
          <w:szCs w:val="24"/>
          <w:lang w:val="en-GB" w:eastAsia="ja-JP"/>
        </w:rPr>
        <w:t xml:space="preserve"> and descendant IAB-nodes/UEs</w:t>
      </w:r>
      <w:r w:rsidR="002349C5">
        <w:rPr>
          <w:rFonts w:ascii="Calibri" w:hAnsi="Calibri" w:cs="Calibri"/>
          <w:szCs w:val="24"/>
          <w:lang w:val="en-GB" w:eastAsia="ja-JP"/>
        </w:rPr>
        <w:t xml:space="preserve">. </w:t>
      </w:r>
    </w:p>
    <w:p w14:paraId="7CFBA1DE" w14:textId="77777777" w:rsidR="007258E6" w:rsidRPr="0084100B" w:rsidRDefault="008F6AA2" w:rsidP="000E00F6">
      <w:pPr>
        <w:pStyle w:val="1"/>
        <w:textAlignment w:val="auto"/>
        <w:rPr>
          <w:rFonts w:asciiTheme="minorHAnsi" w:eastAsiaTheme="minorEastAsia" w:hAnsiTheme="minorHAnsi" w:cstheme="minorHAnsi"/>
          <w:lang w:val="en-US" w:eastAsia="ja-JP"/>
        </w:rPr>
      </w:pPr>
      <w:r w:rsidRPr="0084100B">
        <w:rPr>
          <w:rFonts w:asciiTheme="minorHAnsi" w:eastAsiaTheme="minorEastAsia" w:hAnsiTheme="minorHAnsi" w:cstheme="minorHAnsi"/>
          <w:lang w:val="en-US" w:eastAsia="ja-JP"/>
        </w:rPr>
        <w:t>Discussion</w:t>
      </w:r>
    </w:p>
    <w:p w14:paraId="5BB1D380" w14:textId="5C0B1706" w:rsidR="00406B57" w:rsidRDefault="00811A82" w:rsidP="00CA0ECD">
      <w:pPr>
        <w:spacing w:after="240" w:line="300" w:lineRule="exact"/>
        <w:rPr>
          <w:rFonts w:ascii="Calibri" w:hAnsi="Calibri" w:cs="Calibri"/>
          <w:szCs w:val="24"/>
          <w:lang w:val="en-GB" w:eastAsia="ja-JP"/>
        </w:rPr>
      </w:pPr>
      <w:r>
        <w:rPr>
          <w:rFonts w:ascii="Calibri" w:hAnsi="Calibri" w:cs="Calibri"/>
          <w:szCs w:val="24"/>
          <w:lang w:val="en-GB" w:eastAsia="ja-JP"/>
        </w:rPr>
        <w:t>Figure 1 shows the top-down se</w:t>
      </w:r>
      <w:r w:rsidR="009437A3">
        <w:rPr>
          <w:rFonts w:ascii="Calibri" w:hAnsi="Calibri" w:cs="Calibri"/>
          <w:szCs w:val="24"/>
          <w:lang w:val="en-GB" w:eastAsia="ja-JP"/>
        </w:rPr>
        <w:t>quences of inter-donor handover. T</w:t>
      </w:r>
      <w:r>
        <w:rPr>
          <w:rFonts w:ascii="Calibri" w:hAnsi="Calibri" w:cs="Calibri"/>
          <w:szCs w:val="24"/>
          <w:lang w:val="en-GB" w:eastAsia="ja-JP"/>
        </w:rPr>
        <w:t>he IAB-MT performs handover before the collocated IAB-DU/descendant IAB nodes/UE</w:t>
      </w:r>
      <w:r w:rsidR="002349C5">
        <w:rPr>
          <w:rFonts w:ascii="Calibri" w:hAnsi="Calibri" w:cs="Calibri"/>
          <w:szCs w:val="24"/>
          <w:lang w:val="en-GB" w:eastAsia="ja-JP"/>
        </w:rPr>
        <w:t>s</w:t>
      </w:r>
      <w:r>
        <w:rPr>
          <w:rFonts w:ascii="Calibri" w:hAnsi="Calibri" w:cs="Calibri"/>
          <w:szCs w:val="24"/>
          <w:lang w:val="en-GB" w:eastAsia="ja-JP"/>
        </w:rPr>
        <w:t xml:space="preserve"> are migrated to the target donor.</w:t>
      </w:r>
      <w:r w:rsidR="002349C5">
        <w:rPr>
          <w:rFonts w:ascii="Calibri" w:hAnsi="Calibri" w:cs="Calibri"/>
          <w:szCs w:val="24"/>
          <w:lang w:val="en-GB" w:eastAsia="ja-JP"/>
        </w:rPr>
        <w:t xml:space="preserve"> It has been agreed that the old F1-C with the source donor should be anchored to the target IAB donor after the IAB-MT completes the handover. The RRC reconfiguration messages for the descendant IAB nodes/UEs will be encapsulated in the F1 message to the IAB-DU and delivered via the old F1-C path.</w:t>
      </w:r>
    </w:p>
    <w:p w14:paraId="52D5B7BC" w14:textId="5AD8EAF5" w:rsidR="002349C5" w:rsidRDefault="002349C5" w:rsidP="002349C5">
      <w:pPr>
        <w:spacing w:after="0" w:line="240" w:lineRule="auto"/>
        <w:jc w:val="center"/>
        <w:rPr>
          <w:rFonts w:ascii="Calibri" w:hAnsi="Calibri" w:cs="Calibri"/>
          <w:szCs w:val="24"/>
          <w:lang w:val="en-GB" w:eastAsia="ja-JP"/>
        </w:rPr>
      </w:pPr>
      <w:r>
        <w:rPr>
          <w:rFonts w:ascii="Calibri" w:hAnsi="Calibri" w:cs="Calibri"/>
          <w:noProof/>
          <w:szCs w:val="24"/>
          <w:lang w:eastAsia="ja-JP"/>
        </w:rPr>
        <w:lastRenderedPageBreak/>
        <w:drawing>
          <wp:inline distT="0" distB="0" distL="0" distR="0" wp14:anchorId="07B09D73" wp14:editId="16ABEE5D">
            <wp:extent cx="2128520" cy="2955290"/>
            <wp:effectExtent l="0" t="0" r="5080" b="0"/>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28520" cy="2955290"/>
                    </a:xfrm>
                    <a:prstGeom prst="rect">
                      <a:avLst/>
                    </a:prstGeom>
                    <a:noFill/>
                    <a:ln>
                      <a:noFill/>
                    </a:ln>
                  </pic:spPr>
                </pic:pic>
              </a:graphicData>
            </a:graphic>
          </wp:inline>
        </w:drawing>
      </w:r>
    </w:p>
    <w:p w14:paraId="6BF68CF9" w14:textId="56916A52" w:rsidR="002349C5" w:rsidRDefault="002349C5" w:rsidP="002349C5">
      <w:pPr>
        <w:spacing w:after="0" w:line="240" w:lineRule="auto"/>
        <w:rPr>
          <w:rFonts w:ascii="Calibri" w:hAnsi="Calibri" w:cs="Calibri"/>
          <w:szCs w:val="24"/>
          <w:lang w:val="en-GB" w:eastAsia="ja-JP"/>
        </w:rPr>
      </w:pPr>
    </w:p>
    <w:p w14:paraId="6C8B18F3" w14:textId="77777777" w:rsidR="002349C5" w:rsidRDefault="002349C5" w:rsidP="002349C5">
      <w:pPr>
        <w:spacing w:after="0" w:line="240" w:lineRule="auto"/>
        <w:jc w:val="center"/>
        <w:rPr>
          <w:rFonts w:ascii="Calibri" w:hAnsi="Calibri" w:cs="Calibri"/>
          <w:szCs w:val="24"/>
          <w:lang w:val="en-GB" w:eastAsia="ja-JP"/>
        </w:rPr>
      </w:pPr>
    </w:p>
    <w:p w14:paraId="2F492315" w14:textId="77777777" w:rsidR="002349C5" w:rsidRDefault="002349C5" w:rsidP="002349C5">
      <w:pPr>
        <w:spacing w:after="0" w:line="240" w:lineRule="auto"/>
        <w:jc w:val="center"/>
        <w:rPr>
          <w:rFonts w:ascii="Calibri" w:hAnsi="Calibri" w:cs="Calibri"/>
          <w:szCs w:val="24"/>
          <w:lang w:val="en-GB" w:eastAsia="ja-JP"/>
        </w:rPr>
      </w:pPr>
      <w:r w:rsidRPr="00CA0ECD">
        <w:rPr>
          <w:rFonts w:ascii="Calibri" w:hAnsi="Calibri" w:cs="Calibri" w:hint="eastAsia"/>
          <w:szCs w:val="24"/>
          <w:lang w:val="en-GB" w:eastAsia="ja-JP"/>
        </w:rPr>
        <w:t>F</w:t>
      </w:r>
      <w:r w:rsidRPr="00CA0ECD">
        <w:rPr>
          <w:rFonts w:ascii="Calibri" w:hAnsi="Calibri" w:cs="Calibri"/>
          <w:szCs w:val="24"/>
          <w:lang w:val="en-GB" w:eastAsia="ja-JP"/>
        </w:rPr>
        <w:t xml:space="preserve">igure 1. </w:t>
      </w:r>
      <w:r>
        <w:rPr>
          <w:rFonts w:ascii="Calibri" w:hAnsi="Calibri" w:cs="Calibri"/>
          <w:szCs w:val="24"/>
          <w:lang w:val="en-GB" w:eastAsia="ja-JP"/>
        </w:rPr>
        <w:t>Top-down sequence of inter-donor IAB migration</w:t>
      </w:r>
    </w:p>
    <w:p w14:paraId="35741126" w14:textId="38164C89" w:rsidR="002349C5" w:rsidRDefault="002349C5" w:rsidP="002349C5">
      <w:pPr>
        <w:spacing w:after="0" w:line="240" w:lineRule="auto"/>
        <w:rPr>
          <w:rFonts w:ascii="ＭＳ Ｐゴシック" w:eastAsia="ＭＳ Ｐゴシック" w:hAnsi="ＭＳ Ｐゴシック" w:cs="ＭＳ Ｐゴシック"/>
          <w:sz w:val="24"/>
          <w:szCs w:val="24"/>
          <w:lang w:eastAsia="ja-JP"/>
        </w:rPr>
      </w:pPr>
      <w:r w:rsidRPr="009E2FD9">
        <w:rPr>
          <w:rFonts w:ascii="ＭＳ Ｐゴシック" w:eastAsia="ＭＳ Ｐゴシック" w:hAnsi="ＭＳ Ｐゴシック" w:cs="ＭＳ Ｐゴシック"/>
          <w:sz w:val="24"/>
          <w:szCs w:val="24"/>
          <w:lang w:eastAsia="ja-JP"/>
        </w:rPr>
        <w:t>​</w:t>
      </w:r>
    </w:p>
    <w:p w14:paraId="7BA97EC8" w14:textId="44B6E107" w:rsidR="00E95A59" w:rsidRPr="00E95A59" w:rsidRDefault="00E95A59" w:rsidP="00E95A59">
      <w:pPr>
        <w:pStyle w:val="a3"/>
        <w:numPr>
          <w:ilvl w:val="0"/>
          <w:numId w:val="23"/>
        </w:numPr>
        <w:spacing w:after="0" w:line="240" w:lineRule="auto"/>
        <w:rPr>
          <w:rFonts w:ascii="Calibri" w:hAnsi="Calibri" w:cs="Calibri"/>
          <w:szCs w:val="24"/>
          <w:lang w:val="en-GB" w:eastAsia="ja-JP"/>
        </w:rPr>
      </w:pPr>
      <w:r>
        <w:rPr>
          <w:rFonts w:ascii="Calibri" w:hAnsi="Calibri" w:cs="Calibri"/>
          <w:szCs w:val="24"/>
          <w:lang w:val="en-GB" w:eastAsia="ja-JP"/>
        </w:rPr>
        <w:t xml:space="preserve">Is migration of IAB-DU needed? </w:t>
      </w:r>
    </w:p>
    <w:p w14:paraId="4CE0346D" w14:textId="54A593D4" w:rsidR="00E95A59" w:rsidRDefault="00E95A59" w:rsidP="00E95A59">
      <w:pPr>
        <w:spacing w:after="0" w:line="240" w:lineRule="auto"/>
        <w:ind w:left="360"/>
        <w:rPr>
          <w:rFonts w:ascii="Calibri" w:hAnsi="Calibri" w:cs="Calibri"/>
          <w:szCs w:val="24"/>
          <w:lang w:val="en-GB" w:eastAsia="ja-JP"/>
        </w:rPr>
      </w:pPr>
      <w:r w:rsidRPr="00251201">
        <w:rPr>
          <w:rFonts w:ascii="Calibri" w:hAnsi="Calibri" w:cs="Calibri"/>
          <w:szCs w:val="24"/>
          <w:lang w:val="en-GB" w:eastAsia="ja-JP"/>
        </w:rPr>
        <w:t>The migration of the IAB node can support robustness and load balancing. After the IAB-MT migrated to the target IAB-donor, the IAB-MT gets to access a better link and part of the traffic on the source IAB-donor</w:t>
      </w:r>
      <w:r w:rsidRPr="00251201">
        <w:rPr>
          <w:rFonts w:ascii="Calibri" w:hAnsi="Calibri" w:cs="Calibri" w:hint="eastAsia"/>
          <w:szCs w:val="24"/>
          <w:lang w:val="en-GB" w:eastAsia="ja-JP"/>
        </w:rPr>
        <w:t xml:space="preserve"> could be shift</w:t>
      </w:r>
      <w:r w:rsidRPr="00251201">
        <w:rPr>
          <w:rFonts w:ascii="Calibri" w:hAnsi="Calibri" w:cs="Calibri"/>
          <w:szCs w:val="24"/>
          <w:lang w:val="en-GB" w:eastAsia="ja-JP"/>
        </w:rPr>
        <w:t>ed</w:t>
      </w:r>
      <w:r w:rsidRPr="00251201">
        <w:rPr>
          <w:rFonts w:ascii="Calibri" w:hAnsi="Calibri" w:cs="Calibri" w:hint="eastAsia"/>
          <w:szCs w:val="24"/>
          <w:lang w:val="en-GB" w:eastAsia="ja-JP"/>
        </w:rPr>
        <w:t xml:space="preserve"> to the target IAB-donor side. </w:t>
      </w:r>
      <w:r w:rsidRPr="00251201">
        <w:rPr>
          <w:rFonts w:ascii="Calibri" w:hAnsi="Calibri" w:cs="Calibri"/>
          <w:szCs w:val="24"/>
          <w:lang w:val="en-GB" w:eastAsia="ja-JP"/>
        </w:rPr>
        <w:t>With this, t</w:t>
      </w:r>
      <w:r w:rsidRPr="00251201">
        <w:rPr>
          <w:rFonts w:ascii="Calibri" w:hAnsi="Calibri" w:cs="Calibri" w:hint="eastAsia"/>
          <w:szCs w:val="24"/>
          <w:lang w:val="en-GB" w:eastAsia="ja-JP"/>
        </w:rPr>
        <w:t xml:space="preserve">he purpose of the </w:t>
      </w:r>
      <w:r w:rsidRPr="00251201">
        <w:rPr>
          <w:rFonts w:ascii="Calibri" w:hAnsi="Calibri" w:cs="Calibri"/>
          <w:szCs w:val="24"/>
          <w:lang w:val="en-GB" w:eastAsia="ja-JP"/>
        </w:rPr>
        <w:t>migration</w:t>
      </w:r>
      <w:r w:rsidRPr="00251201">
        <w:rPr>
          <w:rFonts w:ascii="Calibri" w:hAnsi="Calibri" w:cs="Calibri" w:hint="eastAsia"/>
          <w:szCs w:val="24"/>
          <w:lang w:val="en-GB" w:eastAsia="ja-JP"/>
        </w:rPr>
        <w:t xml:space="preserve"> </w:t>
      </w:r>
      <w:r w:rsidRPr="00251201">
        <w:rPr>
          <w:rFonts w:ascii="Calibri" w:hAnsi="Calibri" w:cs="Calibri"/>
          <w:szCs w:val="24"/>
          <w:lang w:val="en-GB" w:eastAsia="ja-JP"/>
        </w:rPr>
        <w:t>has been achieved and there is no need to migrate the collocated IAB-DU as well as the descendant IAB nodes/UEs. However, the latency to the descendant IAB nodes/UE will be increased via the target IAB-donor, and it is complex for the target IAB-donor to maintain a path for the source IAB-donor. Therefore, the migration of IAB-DU would be useful.</w:t>
      </w:r>
    </w:p>
    <w:p w14:paraId="5F9AC31E" w14:textId="2CADAD28" w:rsidR="00E95A59" w:rsidRDefault="00E95A59" w:rsidP="00E95A59">
      <w:pPr>
        <w:pStyle w:val="a3"/>
        <w:numPr>
          <w:ilvl w:val="0"/>
          <w:numId w:val="23"/>
        </w:numPr>
        <w:spacing w:after="0" w:line="240" w:lineRule="auto"/>
        <w:rPr>
          <w:rFonts w:ascii="Calibri" w:hAnsi="Calibri" w:cs="Calibri"/>
          <w:szCs w:val="24"/>
          <w:lang w:val="en-GB" w:eastAsia="ja-JP"/>
        </w:rPr>
      </w:pPr>
      <w:r w:rsidRPr="00E95A59">
        <w:rPr>
          <w:rFonts w:ascii="Calibri" w:hAnsi="Calibri" w:cs="Calibri"/>
          <w:szCs w:val="24"/>
          <w:lang w:val="en-GB" w:eastAsia="ja-JP"/>
        </w:rPr>
        <w:t>Who will initiate the IAB</w:t>
      </w:r>
      <w:r>
        <w:rPr>
          <w:rFonts w:ascii="Calibri" w:hAnsi="Calibri" w:cs="Calibri"/>
          <w:szCs w:val="24"/>
          <w:lang w:val="en-GB" w:eastAsia="ja-JP"/>
        </w:rPr>
        <w:t xml:space="preserve">-DU migration? </w:t>
      </w:r>
    </w:p>
    <w:p w14:paraId="5725DF2C" w14:textId="3A08E4C0" w:rsidR="003B7FDE" w:rsidRDefault="00F2223C" w:rsidP="00E95A59">
      <w:pPr>
        <w:pStyle w:val="a3"/>
        <w:spacing w:after="0" w:line="240" w:lineRule="auto"/>
        <w:ind w:left="360"/>
        <w:rPr>
          <w:rFonts w:ascii="Calibri" w:hAnsi="Calibri" w:cs="Calibri"/>
          <w:szCs w:val="24"/>
          <w:lang w:val="en-GB" w:eastAsia="ja-JP"/>
        </w:rPr>
      </w:pPr>
      <w:r>
        <w:rPr>
          <w:rFonts w:ascii="Calibri" w:hAnsi="Calibri" w:cs="Calibri"/>
          <w:szCs w:val="24"/>
          <w:lang w:val="en-GB" w:eastAsia="ja-JP"/>
        </w:rPr>
        <w:t>We consider it is the IAB-donor that initiates the migration. The IAB-MT will be considered to be synchronized to the target IAB-parent once its RRC reconfiguration complete message is received successfully by the target IAB-parent. Then the target IAB-donor who is providing the BH link to the target IAB-parent will send Handover success to source IAB-donor</w:t>
      </w:r>
      <w:r w:rsidR="00D27B95">
        <w:rPr>
          <w:rFonts w:ascii="Calibri" w:hAnsi="Calibri" w:cs="Calibri"/>
          <w:szCs w:val="24"/>
          <w:lang w:val="en-GB" w:eastAsia="ja-JP"/>
        </w:rPr>
        <w:t xml:space="preserve"> which indicates the IAB-MT has been successfully connected to the target side. Then the source IAB-donor could initiate the IAB-DU migration. If it the IAB who initiates the IAB-DU migration, the initiation pro</w:t>
      </w:r>
      <w:r w:rsidR="002B236A">
        <w:rPr>
          <w:rFonts w:ascii="Calibri" w:hAnsi="Calibri" w:cs="Calibri"/>
          <w:szCs w:val="24"/>
          <w:lang w:val="en-GB" w:eastAsia="ja-JP"/>
        </w:rPr>
        <w:t xml:space="preserve">cess has to be included in the RRC reconfiguration message, which will increase the RRC message’s complexity and hard to realize. </w:t>
      </w:r>
    </w:p>
    <w:p w14:paraId="46B56510" w14:textId="7307EA8F" w:rsidR="002B236A" w:rsidRPr="00E0082D" w:rsidRDefault="002B236A" w:rsidP="00E0082D">
      <w:pPr>
        <w:spacing w:after="240" w:line="240" w:lineRule="auto"/>
        <w:rPr>
          <w:rFonts w:ascii="Segoe UI" w:eastAsia="ＭＳ Ｐゴシック" w:hAnsi="Segoe UI" w:cs="Segoe UI" w:hint="eastAsia"/>
          <w:b/>
          <w:sz w:val="21"/>
          <w:szCs w:val="21"/>
          <w:lang w:eastAsia="ja-JP"/>
        </w:rPr>
      </w:pPr>
      <w:r>
        <w:rPr>
          <w:rFonts w:ascii="Calibri" w:hAnsi="Calibri" w:cs="Calibri"/>
          <w:b/>
          <w:szCs w:val="24"/>
          <w:lang w:eastAsia="ja-JP"/>
        </w:rPr>
        <w:t>Proposal</w:t>
      </w:r>
      <w:r w:rsidRPr="0002564B">
        <w:rPr>
          <w:rFonts w:ascii="Segoe UI" w:eastAsia="ＭＳ Ｐゴシック" w:hAnsi="Segoe UI" w:cs="Segoe UI"/>
          <w:b/>
          <w:sz w:val="21"/>
          <w:szCs w:val="21"/>
          <w:lang w:eastAsia="ja-JP"/>
        </w:rPr>
        <w:t xml:space="preserve"> </w:t>
      </w:r>
      <w:r w:rsidR="00C75E4E">
        <w:rPr>
          <w:rFonts w:ascii="Segoe UI" w:eastAsia="ＭＳ Ｐゴシック" w:hAnsi="Segoe UI" w:cs="Segoe UI"/>
          <w:b/>
          <w:sz w:val="21"/>
          <w:szCs w:val="21"/>
          <w:lang w:eastAsia="ja-JP"/>
        </w:rPr>
        <w:t>1</w:t>
      </w:r>
      <w:r>
        <w:rPr>
          <w:rFonts w:ascii="Segoe UI" w:eastAsia="ＭＳ Ｐゴシック" w:hAnsi="Segoe UI" w:cs="Segoe UI"/>
          <w:sz w:val="21"/>
          <w:szCs w:val="21"/>
          <w:lang w:eastAsia="ja-JP"/>
        </w:rPr>
        <w:t>:</w:t>
      </w:r>
      <w:r w:rsidRPr="00F15909">
        <w:rPr>
          <w:rFonts w:ascii="Segoe UI" w:eastAsia="ＭＳ Ｐゴシック" w:hAnsi="Segoe UI" w:cs="Segoe UI"/>
          <w:b/>
          <w:sz w:val="21"/>
          <w:szCs w:val="21"/>
          <w:lang w:eastAsia="ja-JP"/>
        </w:rPr>
        <w:t xml:space="preserve"> </w:t>
      </w:r>
      <w:r w:rsidRPr="002B236A">
        <w:rPr>
          <w:rFonts w:ascii="Segoe UI" w:eastAsia="ＭＳ Ｐゴシック" w:hAnsi="Segoe UI" w:cs="Segoe UI"/>
          <w:b/>
          <w:sz w:val="21"/>
          <w:szCs w:val="21"/>
          <w:lang w:eastAsia="ja-JP"/>
        </w:rPr>
        <w:t>Once the</w:t>
      </w:r>
      <w:r>
        <w:rPr>
          <w:rFonts w:ascii="Segoe UI" w:eastAsia="ＭＳ Ｐゴシック" w:hAnsi="Segoe UI" w:cs="Segoe UI"/>
          <w:b/>
          <w:sz w:val="21"/>
          <w:szCs w:val="21"/>
          <w:lang w:eastAsia="ja-JP"/>
        </w:rPr>
        <w:t xml:space="preserve"> </w:t>
      </w:r>
      <w:r w:rsidRPr="002B236A">
        <w:rPr>
          <w:rFonts w:ascii="Segoe UI" w:eastAsia="ＭＳ Ｐゴシック" w:hAnsi="Segoe UI" w:cs="Segoe UI"/>
          <w:b/>
          <w:sz w:val="21"/>
          <w:szCs w:val="21"/>
          <w:lang w:eastAsia="ja-JP"/>
        </w:rPr>
        <w:t>IAB donor recognize</w:t>
      </w:r>
      <w:r>
        <w:rPr>
          <w:rFonts w:ascii="Segoe UI" w:eastAsia="ＭＳ Ｐゴシック" w:hAnsi="Segoe UI" w:cs="Segoe UI"/>
          <w:b/>
          <w:sz w:val="21"/>
          <w:szCs w:val="21"/>
          <w:lang w:eastAsia="ja-JP"/>
        </w:rPr>
        <w:t>d</w:t>
      </w:r>
      <w:r w:rsidRPr="002B236A">
        <w:rPr>
          <w:rFonts w:ascii="Segoe UI" w:eastAsia="ＭＳ Ｐゴシック" w:hAnsi="Segoe UI" w:cs="Segoe UI"/>
          <w:b/>
          <w:sz w:val="21"/>
          <w:szCs w:val="21"/>
          <w:lang w:eastAsia="ja-JP"/>
        </w:rPr>
        <w:t xml:space="preserve"> the completion of IAB-MT handover, the sou</w:t>
      </w:r>
      <w:r w:rsidR="00C75E4E">
        <w:rPr>
          <w:rFonts w:ascii="Segoe UI" w:eastAsia="ＭＳ Ｐゴシック" w:hAnsi="Segoe UI" w:cs="Segoe UI"/>
          <w:b/>
          <w:sz w:val="21"/>
          <w:szCs w:val="21"/>
          <w:lang w:eastAsia="ja-JP"/>
        </w:rPr>
        <w:t>rce IAB donor initiates the IAB-</w:t>
      </w:r>
      <w:r w:rsidRPr="002B236A">
        <w:rPr>
          <w:rFonts w:ascii="Segoe UI" w:eastAsia="ＭＳ Ｐゴシック" w:hAnsi="Segoe UI" w:cs="Segoe UI"/>
          <w:b/>
          <w:sz w:val="21"/>
          <w:szCs w:val="21"/>
          <w:lang w:eastAsia="ja-JP"/>
        </w:rPr>
        <w:t>DU migration</w:t>
      </w:r>
      <w:r>
        <w:rPr>
          <w:rFonts w:ascii="Segoe UI" w:eastAsia="ＭＳ Ｐゴシック" w:hAnsi="Segoe UI" w:cs="Segoe UI"/>
          <w:b/>
          <w:sz w:val="21"/>
          <w:szCs w:val="21"/>
          <w:lang w:eastAsia="ja-JP"/>
        </w:rPr>
        <w:t>.</w:t>
      </w:r>
    </w:p>
    <w:p w14:paraId="4ACC74E6" w14:textId="6F6FCA4A" w:rsidR="002B236A" w:rsidRDefault="00C75E4E" w:rsidP="00E0082D">
      <w:pPr>
        <w:pStyle w:val="a3"/>
        <w:spacing w:after="0" w:line="240" w:lineRule="auto"/>
        <w:ind w:left="0"/>
        <w:rPr>
          <w:rFonts w:ascii="Calibri" w:hAnsi="Calibri" w:cs="Calibri"/>
          <w:szCs w:val="24"/>
          <w:lang w:val="en-GB" w:eastAsia="ja-JP"/>
        </w:rPr>
      </w:pPr>
      <w:r w:rsidRPr="00251201">
        <w:rPr>
          <w:rFonts w:ascii="Calibri" w:hAnsi="Calibri" w:cs="Calibri"/>
          <w:szCs w:val="24"/>
          <w:lang w:val="en-GB" w:eastAsia="ja-JP"/>
        </w:rPr>
        <w:t>As separate logical IAB-DUs in the same physical node is not precluded</w:t>
      </w:r>
      <w:r>
        <w:rPr>
          <w:rFonts w:ascii="Calibri" w:hAnsi="Calibri" w:cs="Calibri"/>
          <w:szCs w:val="24"/>
          <w:lang w:val="en-GB" w:eastAsia="ja-JP"/>
        </w:rPr>
        <w:t xml:space="preserve">, the target IAB-donor could reuse the F1-C setup procedure to establish the new F1-C in advance. </w:t>
      </w:r>
      <w:r w:rsidR="000C2358">
        <w:rPr>
          <w:rFonts w:ascii="Calibri" w:hAnsi="Calibri" w:cs="Calibri"/>
          <w:szCs w:val="24"/>
          <w:lang w:val="en-GB" w:eastAsia="ja-JP"/>
        </w:rPr>
        <w:t>And the F1-C setup could be performed once the migration IAB nodes established its RRC connection with the target IAB donor.</w:t>
      </w:r>
    </w:p>
    <w:p w14:paraId="7F319739" w14:textId="53DC9800" w:rsidR="002B236A" w:rsidRPr="009E3848" w:rsidRDefault="002B236A" w:rsidP="002B236A">
      <w:pPr>
        <w:spacing w:after="240" w:line="240" w:lineRule="auto"/>
        <w:rPr>
          <w:rFonts w:ascii="Segoe UI" w:eastAsia="ＭＳ Ｐゴシック" w:hAnsi="Segoe UI" w:cs="Segoe UI"/>
          <w:b/>
          <w:sz w:val="21"/>
          <w:szCs w:val="21"/>
          <w:lang w:eastAsia="ja-JP"/>
        </w:rPr>
      </w:pPr>
      <w:r>
        <w:rPr>
          <w:rFonts w:ascii="Calibri" w:hAnsi="Calibri" w:cs="Calibri"/>
          <w:b/>
          <w:szCs w:val="24"/>
          <w:lang w:val="en-GB" w:eastAsia="ja-JP"/>
        </w:rPr>
        <w:t>Proposal</w:t>
      </w:r>
      <w:r w:rsidRPr="0002564B">
        <w:rPr>
          <w:rFonts w:ascii="Segoe UI" w:eastAsia="ＭＳ Ｐゴシック" w:hAnsi="Segoe UI" w:cs="Segoe UI"/>
          <w:b/>
          <w:sz w:val="21"/>
          <w:szCs w:val="21"/>
          <w:lang w:eastAsia="ja-JP"/>
        </w:rPr>
        <w:t xml:space="preserve"> </w:t>
      </w:r>
      <w:r>
        <w:rPr>
          <w:rFonts w:ascii="Segoe UI" w:eastAsia="ＭＳ Ｐゴシック" w:hAnsi="Segoe UI" w:cs="Segoe UI"/>
          <w:b/>
          <w:sz w:val="21"/>
          <w:szCs w:val="21"/>
          <w:lang w:eastAsia="ja-JP"/>
        </w:rPr>
        <w:t>2</w:t>
      </w:r>
      <w:r>
        <w:rPr>
          <w:rFonts w:ascii="Segoe UI" w:eastAsia="ＭＳ Ｐゴシック" w:hAnsi="Segoe UI" w:cs="Segoe UI"/>
          <w:sz w:val="21"/>
          <w:szCs w:val="21"/>
          <w:lang w:eastAsia="ja-JP"/>
        </w:rPr>
        <w:t>:</w:t>
      </w:r>
      <w:r w:rsidRPr="00F15909">
        <w:rPr>
          <w:rFonts w:ascii="Segoe UI" w:eastAsia="ＭＳ Ｐゴシック" w:hAnsi="Segoe UI" w:cs="Segoe UI"/>
          <w:b/>
          <w:sz w:val="21"/>
          <w:szCs w:val="21"/>
          <w:lang w:eastAsia="ja-JP"/>
        </w:rPr>
        <w:t xml:space="preserve"> </w:t>
      </w:r>
      <w:r w:rsidR="00F1486F">
        <w:rPr>
          <w:rFonts w:ascii="Segoe UI" w:eastAsia="ＭＳ Ｐゴシック" w:hAnsi="Segoe UI" w:cs="Segoe UI"/>
          <w:b/>
          <w:sz w:val="21"/>
          <w:szCs w:val="21"/>
          <w:lang w:eastAsia="ja-JP"/>
        </w:rPr>
        <w:t xml:space="preserve">The F1-C setup procedure could be reused to establish the connection between </w:t>
      </w:r>
      <w:r w:rsidR="00430B4C">
        <w:rPr>
          <w:rFonts w:ascii="Segoe UI" w:eastAsia="ＭＳ Ｐゴシック" w:hAnsi="Segoe UI" w:cs="Segoe UI" w:hint="eastAsia"/>
          <w:b/>
          <w:sz w:val="21"/>
          <w:szCs w:val="21"/>
          <w:lang w:eastAsia="ja-JP"/>
        </w:rPr>
        <w:t xml:space="preserve">the </w:t>
      </w:r>
      <w:r>
        <w:rPr>
          <w:rFonts w:ascii="Segoe UI" w:eastAsia="ＭＳ Ｐゴシック" w:hAnsi="Segoe UI" w:cs="Segoe UI"/>
          <w:b/>
          <w:sz w:val="21"/>
          <w:szCs w:val="21"/>
          <w:lang w:eastAsia="ja-JP"/>
        </w:rPr>
        <w:t xml:space="preserve">target IAB-donor and </w:t>
      </w:r>
      <w:r w:rsidR="00430B4C">
        <w:rPr>
          <w:rFonts w:ascii="Segoe UI" w:eastAsia="ＭＳ Ｐゴシック" w:hAnsi="Segoe UI" w:cs="Segoe UI"/>
          <w:b/>
          <w:sz w:val="21"/>
          <w:szCs w:val="21"/>
          <w:lang w:eastAsia="ja-JP"/>
        </w:rPr>
        <w:t xml:space="preserve">the </w:t>
      </w:r>
      <w:r>
        <w:rPr>
          <w:rFonts w:ascii="Segoe UI" w:eastAsia="ＭＳ Ｐゴシック" w:hAnsi="Segoe UI" w:cs="Segoe UI"/>
          <w:b/>
          <w:sz w:val="21"/>
          <w:szCs w:val="21"/>
          <w:lang w:eastAsia="ja-JP"/>
        </w:rPr>
        <w:t xml:space="preserve">target IAB-DU. </w:t>
      </w:r>
    </w:p>
    <w:p w14:paraId="31765C37" w14:textId="661009B5" w:rsidR="002B236A" w:rsidRPr="00F1486F" w:rsidRDefault="00F1486F" w:rsidP="00F1486F">
      <w:pPr>
        <w:spacing w:after="240" w:line="240" w:lineRule="auto"/>
        <w:rPr>
          <w:rFonts w:ascii="Segoe UI" w:eastAsia="ＭＳ Ｐゴシック" w:hAnsi="Segoe UI" w:cs="Segoe UI"/>
          <w:b/>
          <w:sz w:val="21"/>
          <w:szCs w:val="21"/>
          <w:lang w:eastAsia="ja-JP"/>
        </w:rPr>
      </w:pPr>
      <w:r>
        <w:rPr>
          <w:rFonts w:ascii="Calibri" w:hAnsi="Calibri" w:cs="Calibri"/>
          <w:b/>
          <w:szCs w:val="24"/>
          <w:lang w:val="en-GB" w:eastAsia="ja-JP"/>
        </w:rPr>
        <w:lastRenderedPageBreak/>
        <w:t>Proposal</w:t>
      </w:r>
      <w:r w:rsidRPr="0002564B">
        <w:rPr>
          <w:rFonts w:ascii="Segoe UI" w:eastAsia="ＭＳ Ｐゴシック" w:hAnsi="Segoe UI" w:cs="Segoe UI"/>
          <w:b/>
          <w:sz w:val="21"/>
          <w:szCs w:val="21"/>
          <w:lang w:eastAsia="ja-JP"/>
        </w:rPr>
        <w:t xml:space="preserve"> </w:t>
      </w:r>
      <w:r>
        <w:rPr>
          <w:rFonts w:ascii="Segoe UI" w:eastAsia="ＭＳ Ｐゴシック" w:hAnsi="Segoe UI" w:cs="Segoe UI"/>
          <w:b/>
          <w:sz w:val="21"/>
          <w:szCs w:val="21"/>
          <w:lang w:eastAsia="ja-JP"/>
        </w:rPr>
        <w:t>3</w:t>
      </w:r>
      <w:r>
        <w:rPr>
          <w:rFonts w:ascii="Segoe UI" w:eastAsia="ＭＳ Ｐゴシック" w:hAnsi="Segoe UI" w:cs="Segoe UI"/>
          <w:sz w:val="21"/>
          <w:szCs w:val="21"/>
          <w:lang w:eastAsia="ja-JP"/>
        </w:rPr>
        <w:t>:</w:t>
      </w:r>
      <w:r w:rsidRPr="00F15909">
        <w:rPr>
          <w:rFonts w:ascii="Segoe UI" w:eastAsia="ＭＳ Ｐゴシック" w:hAnsi="Segoe UI" w:cs="Segoe UI"/>
          <w:b/>
          <w:sz w:val="21"/>
          <w:szCs w:val="21"/>
          <w:lang w:eastAsia="ja-JP"/>
        </w:rPr>
        <w:t xml:space="preserve"> </w:t>
      </w:r>
      <w:r w:rsidR="000C2358" w:rsidRPr="000C2358">
        <w:rPr>
          <w:rFonts w:ascii="Segoe UI" w:eastAsia="ＭＳ Ｐゴシック" w:hAnsi="Segoe UI" w:cs="Segoe UI"/>
          <w:b/>
          <w:sz w:val="21"/>
          <w:szCs w:val="21"/>
          <w:lang w:eastAsia="ja-JP"/>
        </w:rPr>
        <w:t>RAN3 agree that once the migration IAB node establishes RRC connection with the target IAB donor, it can initiate F1-C setup procedure between the target IAB-DU and the target IAB donor.</w:t>
      </w:r>
    </w:p>
    <w:p w14:paraId="1C056C34" w14:textId="27D4D17B" w:rsidR="00267DB7" w:rsidRPr="002E3CF7" w:rsidRDefault="00267DB7" w:rsidP="00267DB7">
      <w:pPr>
        <w:spacing w:after="240" w:line="300" w:lineRule="exact"/>
        <w:rPr>
          <w:rFonts w:ascii="Calibri" w:hAnsi="Calibri" w:cs="Calibri"/>
          <w:szCs w:val="24"/>
          <w:lang w:val="en-GB" w:eastAsia="ja-JP"/>
        </w:rPr>
      </w:pPr>
      <w:r>
        <w:rPr>
          <w:rFonts w:ascii="Calibri" w:hAnsi="Calibri" w:cs="Calibri" w:hint="eastAsia"/>
          <w:szCs w:val="24"/>
          <w:lang w:val="en-GB" w:eastAsia="ja-JP"/>
        </w:rPr>
        <w:t xml:space="preserve">Once the </w:t>
      </w:r>
      <w:r>
        <w:rPr>
          <w:rFonts w:ascii="Calibri" w:hAnsi="Calibri" w:cs="Calibri"/>
          <w:szCs w:val="24"/>
          <w:lang w:val="en-GB" w:eastAsia="ja-JP"/>
        </w:rPr>
        <w:t>IAB-DU migration completed, the descendant IAB nodes/UEs will perform their migration as mentioned in the top-down sequence.</w:t>
      </w:r>
      <w:r w:rsidR="00E5374C">
        <w:rPr>
          <w:rFonts w:ascii="Calibri" w:hAnsi="Calibri" w:cs="Calibri"/>
          <w:szCs w:val="24"/>
          <w:lang w:val="en-GB" w:eastAsia="ja-JP"/>
        </w:rPr>
        <w:t xml:space="preserve"> The RRC reconfiguration for them has to be sent via the old F1-C is still maintaining. </w:t>
      </w:r>
      <w:r w:rsidR="00616E42">
        <w:rPr>
          <w:rFonts w:ascii="Calibri" w:hAnsi="Calibri" w:cs="Calibri"/>
          <w:szCs w:val="24"/>
          <w:lang w:val="en-GB" w:eastAsia="ja-JP"/>
        </w:rPr>
        <w:t xml:space="preserve">Therefore, the descendant IAB nodes/UEs identities need to be shared </w:t>
      </w:r>
      <w:r w:rsidR="002E3CF7">
        <w:rPr>
          <w:rFonts w:ascii="Calibri" w:hAnsi="Calibri" w:cs="Calibri"/>
          <w:szCs w:val="24"/>
          <w:lang w:val="en-GB" w:eastAsia="ja-JP"/>
        </w:rPr>
        <w:t>with the target IAB-donor to have their RRC reconfiguration be prepared in advance.</w:t>
      </w:r>
    </w:p>
    <w:p w14:paraId="5E6F4F32" w14:textId="55CE899C" w:rsidR="002E3CF7" w:rsidRPr="00F1486F" w:rsidRDefault="002E3CF7" w:rsidP="002E3CF7">
      <w:pPr>
        <w:spacing w:after="240" w:line="240" w:lineRule="auto"/>
        <w:rPr>
          <w:rFonts w:ascii="Segoe UI" w:eastAsia="ＭＳ Ｐゴシック" w:hAnsi="Segoe UI" w:cs="Segoe UI"/>
          <w:b/>
          <w:sz w:val="21"/>
          <w:szCs w:val="21"/>
          <w:lang w:eastAsia="ja-JP"/>
        </w:rPr>
      </w:pPr>
      <w:r>
        <w:rPr>
          <w:rFonts w:ascii="Calibri" w:hAnsi="Calibri" w:cs="Calibri"/>
          <w:b/>
          <w:szCs w:val="24"/>
          <w:lang w:val="en-GB" w:eastAsia="ja-JP"/>
        </w:rPr>
        <w:t>Proposal</w:t>
      </w:r>
      <w:r w:rsidRPr="0002564B">
        <w:rPr>
          <w:rFonts w:ascii="Segoe UI" w:eastAsia="ＭＳ Ｐゴシック" w:hAnsi="Segoe UI" w:cs="Segoe UI"/>
          <w:b/>
          <w:sz w:val="21"/>
          <w:szCs w:val="21"/>
          <w:lang w:eastAsia="ja-JP"/>
        </w:rPr>
        <w:t xml:space="preserve"> </w:t>
      </w:r>
      <w:r>
        <w:rPr>
          <w:rFonts w:ascii="Segoe UI" w:eastAsia="ＭＳ Ｐゴシック" w:hAnsi="Segoe UI" w:cs="Segoe UI"/>
          <w:b/>
          <w:sz w:val="21"/>
          <w:szCs w:val="21"/>
          <w:lang w:eastAsia="ja-JP"/>
        </w:rPr>
        <w:t>4</w:t>
      </w:r>
      <w:r>
        <w:rPr>
          <w:rFonts w:ascii="Segoe UI" w:eastAsia="ＭＳ Ｐゴシック" w:hAnsi="Segoe UI" w:cs="Segoe UI"/>
          <w:sz w:val="21"/>
          <w:szCs w:val="21"/>
          <w:lang w:eastAsia="ja-JP"/>
        </w:rPr>
        <w:t>:</w:t>
      </w:r>
      <w:r w:rsidRPr="00F15909">
        <w:rPr>
          <w:rFonts w:ascii="Segoe UI" w:eastAsia="ＭＳ Ｐゴシック" w:hAnsi="Segoe UI" w:cs="Segoe UI"/>
          <w:b/>
          <w:sz w:val="21"/>
          <w:szCs w:val="21"/>
          <w:lang w:eastAsia="ja-JP"/>
        </w:rPr>
        <w:t xml:space="preserve"> </w:t>
      </w:r>
      <w:r>
        <w:rPr>
          <w:rFonts w:ascii="Segoe UI" w:eastAsia="ＭＳ Ｐゴシック" w:hAnsi="Segoe UI" w:cs="Segoe UI"/>
          <w:b/>
          <w:sz w:val="21"/>
          <w:szCs w:val="21"/>
          <w:lang w:eastAsia="ja-JP"/>
        </w:rPr>
        <w:t>The source IAB-donor shares the descendant IAB nodes identities to the target IAB donor.</w:t>
      </w:r>
    </w:p>
    <w:p w14:paraId="5F0D093C" w14:textId="53231C54" w:rsidR="00267DB7" w:rsidRDefault="004A61F2" w:rsidP="00267DB7">
      <w:pPr>
        <w:spacing w:after="240" w:line="300" w:lineRule="exact"/>
        <w:rPr>
          <w:rFonts w:ascii="Calibri" w:hAnsi="Calibri" w:cs="Calibri"/>
          <w:szCs w:val="24"/>
          <w:lang w:eastAsia="ja-JP"/>
        </w:rPr>
      </w:pPr>
      <w:r>
        <w:rPr>
          <w:rFonts w:ascii="Calibri" w:hAnsi="Calibri" w:cs="Calibri"/>
          <w:szCs w:val="24"/>
          <w:lang w:eastAsia="ja-JP"/>
        </w:rPr>
        <w:t>In case of inter-donor RLF recovery, after the IAB-MT reestablishment its RRC connection to the new donor, the procedure of IAB-DU migration as well as the migration of the descendant IAB nodes/UEs could be the same as above.</w:t>
      </w:r>
    </w:p>
    <w:p w14:paraId="0CFD2B39" w14:textId="702B6794" w:rsidR="00811A82" w:rsidRPr="00CC266C" w:rsidRDefault="004A61F2" w:rsidP="00CC266C">
      <w:pPr>
        <w:spacing w:after="240" w:line="300" w:lineRule="exact"/>
        <w:rPr>
          <w:rFonts w:ascii="Calibri" w:hAnsi="Calibri" w:cs="Calibri" w:hint="eastAsia"/>
          <w:szCs w:val="24"/>
          <w:lang w:eastAsia="ja-JP"/>
        </w:rPr>
      </w:pPr>
      <w:r>
        <w:rPr>
          <w:rFonts w:ascii="Calibri" w:hAnsi="Calibri" w:cs="Calibri"/>
          <w:b/>
          <w:szCs w:val="24"/>
          <w:lang w:val="en-GB" w:eastAsia="ja-JP"/>
        </w:rPr>
        <w:t>Proposal</w:t>
      </w:r>
      <w:r w:rsidRPr="0002564B">
        <w:rPr>
          <w:rFonts w:ascii="Segoe UI" w:eastAsia="ＭＳ Ｐゴシック" w:hAnsi="Segoe UI" w:cs="Segoe UI"/>
          <w:b/>
          <w:sz w:val="21"/>
          <w:szCs w:val="21"/>
          <w:lang w:eastAsia="ja-JP"/>
        </w:rPr>
        <w:t xml:space="preserve"> </w:t>
      </w:r>
      <w:r>
        <w:rPr>
          <w:rFonts w:ascii="Segoe UI" w:eastAsia="ＭＳ Ｐゴシック" w:hAnsi="Segoe UI" w:cs="Segoe UI"/>
          <w:b/>
          <w:sz w:val="21"/>
          <w:szCs w:val="21"/>
          <w:lang w:eastAsia="ja-JP"/>
        </w:rPr>
        <w:t>5</w:t>
      </w:r>
      <w:r>
        <w:rPr>
          <w:rFonts w:ascii="Segoe UI" w:eastAsia="ＭＳ Ｐゴシック" w:hAnsi="Segoe UI" w:cs="Segoe UI"/>
          <w:sz w:val="21"/>
          <w:szCs w:val="21"/>
          <w:lang w:eastAsia="ja-JP"/>
        </w:rPr>
        <w:t>:</w:t>
      </w:r>
      <w:r>
        <w:rPr>
          <w:rFonts w:ascii="Segoe UI" w:eastAsia="ＭＳ Ｐゴシック" w:hAnsi="Segoe UI" w:cs="Segoe UI"/>
          <w:b/>
          <w:sz w:val="21"/>
          <w:szCs w:val="21"/>
          <w:lang w:eastAsia="ja-JP"/>
        </w:rPr>
        <w:t xml:space="preserve"> For inter-donor RLF recovery, the IAB-DU migration as well as migration of the descendant IAB nodes/UEs could reuse the same procedure as inter-donor migration. </w:t>
      </w:r>
      <w:bookmarkStart w:id="3" w:name="_GoBack"/>
      <w:bookmarkEnd w:id="3"/>
    </w:p>
    <w:p w14:paraId="2CBEF9F0" w14:textId="19DFCCF5" w:rsidR="007634F9" w:rsidRDefault="00432E7B" w:rsidP="007634F9">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Conclusions</w:t>
      </w:r>
    </w:p>
    <w:p w14:paraId="5F7596C8" w14:textId="21B30A4D" w:rsidR="00432E7B" w:rsidRPr="00794CF6" w:rsidRDefault="00432E7B" w:rsidP="00432E7B">
      <w:pPr>
        <w:spacing w:after="240" w:line="300" w:lineRule="exact"/>
        <w:rPr>
          <w:rFonts w:ascii="Calibri" w:hAnsi="Calibri" w:cs="Calibri"/>
          <w:szCs w:val="24"/>
          <w:highlight w:val="yellow"/>
          <w:lang w:val="en-GB" w:eastAsia="ja-JP"/>
        </w:rPr>
      </w:pPr>
      <w:r w:rsidRPr="00F1486F">
        <w:rPr>
          <w:lang w:eastAsia="ja-JP"/>
        </w:rPr>
        <w:t xml:space="preserve">In this contribution, </w:t>
      </w:r>
      <w:r w:rsidR="00966F3A" w:rsidRPr="00F1486F">
        <w:rPr>
          <w:lang w:eastAsia="ja-JP"/>
        </w:rPr>
        <w:t xml:space="preserve">we share our views on </w:t>
      </w:r>
      <w:r w:rsidR="00F1486F" w:rsidRPr="00F1486F">
        <w:rPr>
          <w:lang w:eastAsia="ja-JP"/>
        </w:rPr>
        <w:t>the migration of collocated IAB-DU during the inter-donor migration</w:t>
      </w:r>
      <w:r w:rsidRPr="00F1486F">
        <w:rPr>
          <w:rFonts w:ascii="Calibri" w:hAnsi="Calibri" w:cs="Calibri"/>
          <w:szCs w:val="24"/>
          <w:lang w:val="en-GB" w:eastAsia="ja-JP"/>
        </w:rPr>
        <w:t xml:space="preserve">. </w:t>
      </w:r>
      <w:r w:rsidR="00966F3A" w:rsidRPr="00F1486F">
        <w:rPr>
          <w:rFonts w:ascii="Calibri" w:hAnsi="Calibri" w:cs="Calibri"/>
          <w:szCs w:val="24"/>
          <w:lang w:val="en-GB" w:eastAsia="ja-JP"/>
        </w:rPr>
        <w:t xml:space="preserve">Based on our </w:t>
      </w:r>
      <w:r w:rsidR="00BC147A" w:rsidRPr="00F1486F">
        <w:rPr>
          <w:rFonts w:ascii="Calibri" w:hAnsi="Calibri" w:cs="Calibri"/>
          <w:szCs w:val="24"/>
          <w:lang w:val="en-GB" w:eastAsia="ja-JP"/>
        </w:rPr>
        <w:t>considerations, the following is proposed:</w:t>
      </w:r>
    </w:p>
    <w:p w14:paraId="5CDBA6C5" w14:textId="77777777" w:rsidR="004A61F2" w:rsidRPr="002B236A" w:rsidRDefault="004A61F2" w:rsidP="004A61F2">
      <w:pPr>
        <w:spacing w:after="240" w:line="240" w:lineRule="auto"/>
        <w:rPr>
          <w:rFonts w:ascii="Segoe UI" w:eastAsia="ＭＳ Ｐゴシック" w:hAnsi="Segoe UI" w:cs="Segoe UI"/>
          <w:b/>
          <w:sz w:val="21"/>
          <w:szCs w:val="21"/>
          <w:lang w:eastAsia="ja-JP"/>
        </w:rPr>
      </w:pPr>
      <w:r>
        <w:rPr>
          <w:rFonts w:ascii="Calibri" w:hAnsi="Calibri" w:cs="Calibri"/>
          <w:b/>
          <w:szCs w:val="24"/>
          <w:lang w:eastAsia="ja-JP"/>
        </w:rPr>
        <w:t>Proposal</w:t>
      </w:r>
      <w:r w:rsidRPr="0002564B">
        <w:rPr>
          <w:rFonts w:ascii="Segoe UI" w:eastAsia="ＭＳ Ｐゴシック" w:hAnsi="Segoe UI" w:cs="Segoe UI"/>
          <w:b/>
          <w:sz w:val="21"/>
          <w:szCs w:val="21"/>
          <w:lang w:eastAsia="ja-JP"/>
        </w:rPr>
        <w:t xml:space="preserve"> </w:t>
      </w:r>
      <w:r>
        <w:rPr>
          <w:rFonts w:ascii="Segoe UI" w:eastAsia="ＭＳ Ｐゴシック" w:hAnsi="Segoe UI" w:cs="Segoe UI"/>
          <w:b/>
          <w:sz w:val="21"/>
          <w:szCs w:val="21"/>
          <w:lang w:eastAsia="ja-JP"/>
        </w:rPr>
        <w:t>1</w:t>
      </w:r>
      <w:r>
        <w:rPr>
          <w:rFonts w:ascii="Segoe UI" w:eastAsia="ＭＳ Ｐゴシック" w:hAnsi="Segoe UI" w:cs="Segoe UI"/>
          <w:sz w:val="21"/>
          <w:szCs w:val="21"/>
          <w:lang w:eastAsia="ja-JP"/>
        </w:rPr>
        <w:t>:</w:t>
      </w:r>
      <w:r w:rsidRPr="00F15909">
        <w:rPr>
          <w:rFonts w:ascii="Segoe UI" w:eastAsia="ＭＳ Ｐゴシック" w:hAnsi="Segoe UI" w:cs="Segoe UI"/>
          <w:b/>
          <w:sz w:val="21"/>
          <w:szCs w:val="21"/>
          <w:lang w:eastAsia="ja-JP"/>
        </w:rPr>
        <w:t xml:space="preserve"> </w:t>
      </w:r>
      <w:r w:rsidRPr="002B236A">
        <w:rPr>
          <w:rFonts w:ascii="Segoe UI" w:eastAsia="ＭＳ Ｐゴシック" w:hAnsi="Segoe UI" w:cs="Segoe UI"/>
          <w:b/>
          <w:sz w:val="21"/>
          <w:szCs w:val="21"/>
          <w:lang w:eastAsia="ja-JP"/>
        </w:rPr>
        <w:t>Once the</w:t>
      </w:r>
      <w:r>
        <w:rPr>
          <w:rFonts w:ascii="Segoe UI" w:eastAsia="ＭＳ Ｐゴシック" w:hAnsi="Segoe UI" w:cs="Segoe UI"/>
          <w:b/>
          <w:sz w:val="21"/>
          <w:szCs w:val="21"/>
          <w:lang w:eastAsia="ja-JP"/>
        </w:rPr>
        <w:t xml:space="preserve"> </w:t>
      </w:r>
      <w:r w:rsidRPr="002B236A">
        <w:rPr>
          <w:rFonts w:ascii="Segoe UI" w:eastAsia="ＭＳ Ｐゴシック" w:hAnsi="Segoe UI" w:cs="Segoe UI"/>
          <w:b/>
          <w:sz w:val="21"/>
          <w:szCs w:val="21"/>
          <w:lang w:eastAsia="ja-JP"/>
        </w:rPr>
        <w:t>IAB donor recognize</w:t>
      </w:r>
      <w:r>
        <w:rPr>
          <w:rFonts w:ascii="Segoe UI" w:eastAsia="ＭＳ Ｐゴシック" w:hAnsi="Segoe UI" w:cs="Segoe UI"/>
          <w:b/>
          <w:sz w:val="21"/>
          <w:szCs w:val="21"/>
          <w:lang w:eastAsia="ja-JP"/>
        </w:rPr>
        <w:t>d</w:t>
      </w:r>
      <w:r w:rsidRPr="002B236A">
        <w:rPr>
          <w:rFonts w:ascii="Segoe UI" w:eastAsia="ＭＳ Ｐゴシック" w:hAnsi="Segoe UI" w:cs="Segoe UI"/>
          <w:b/>
          <w:sz w:val="21"/>
          <w:szCs w:val="21"/>
          <w:lang w:eastAsia="ja-JP"/>
        </w:rPr>
        <w:t xml:space="preserve"> the completion of IAB-MT handover, the sou</w:t>
      </w:r>
      <w:r>
        <w:rPr>
          <w:rFonts w:ascii="Segoe UI" w:eastAsia="ＭＳ Ｐゴシック" w:hAnsi="Segoe UI" w:cs="Segoe UI"/>
          <w:b/>
          <w:sz w:val="21"/>
          <w:szCs w:val="21"/>
          <w:lang w:eastAsia="ja-JP"/>
        </w:rPr>
        <w:t>rce IAB donor initiates the IAB-</w:t>
      </w:r>
      <w:r w:rsidRPr="002B236A">
        <w:rPr>
          <w:rFonts w:ascii="Segoe UI" w:eastAsia="ＭＳ Ｐゴシック" w:hAnsi="Segoe UI" w:cs="Segoe UI"/>
          <w:b/>
          <w:sz w:val="21"/>
          <w:szCs w:val="21"/>
          <w:lang w:eastAsia="ja-JP"/>
        </w:rPr>
        <w:t>DU migration</w:t>
      </w:r>
      <w:r>
        <w:rPr>
          <w:rFonts w:ascii="Segoe UI" w:eastAsia="ＭＳ Ｐゴシック" w:hAnsi="Segoe UI" w:cs="Segoe UI"/>
          <w:b/>
          <w:sz w:val="21"/>
          <w:szCs w:val="21"/>
          <w:lang w:eastAsia="ja-JP"/>
        </w:rPr>
        <w:t>.</w:t>
      </w:r>
    </w:p>
    <w:p w14:paraId="692F9A1F" w14:textId="77777777" w:rsidR="00E0082D" w:rsidRPr="009E3848" w:rsidRDefault="00E0082D" w:rsidP="00E0082D">
      <w:pPr>
        <w:spacing w:after="240" w:line="240" w:lineRule="auto"/>
        <w:rPr>
          <w:rFonts w:ascii="Segoe UI" w:eastAsia="ＭＳ Ｐゴシック" w:hAnsi="Segoe UI" w:cs="Segoe UI"/>
          <w:b/>
          <w:sz w:val="21"/>
          <w:szCs w:val="21"/>
          <w:lang w:eastAsia="ja-JP"/>
        </w:rPr>
      </w:pPr>
      <w:r>
        <w:rPr>
          <w:rFonts w:ascii="Calibri" w:hAnsi="Calibri" w:cs="Calibri"/>
          <w:b/>
          <w:szCs w:val="24"/>
          <w:lang w:val="en-GB" w:eastAsia="ja-JP"/>
        </w:rPr>
        <w:t>Proposal</w:t>
      </w:r>
      <w:r w:rsidRPr="0002564B">
        <w:rPr>
          <w:rFonts w:ascii="Segoe UI" w:eastAsia="ＭＳ Ｐゴシック" w:hAnsi="Segoe UI" w:cs="Segoe UI"/>
          <w:b/>
          <w:sz w:val="21"/>
          <w:szCs w:val="21"/>
          <w:lang w:eastAsia="ja-JP"/>
        </w:rPr>
        <w:t xml:space="preserve"> </w:t>
      </w:r>
      <w:r>
        <w:rPr>
          <w:rFonts w:ascii="Segoe UI" w:eastAsia="ＭＳ Ｐゴシック" w:hAnsi="Segoe UI" w:cs="Segoe UI"/>
          <w:b/>
          <w:sz w:val="21"/>
          <w:szCs w:val="21"/>
          <w:lang w:eastAsia="ja-JP"/>
        </w:rPr>
        <w:t>2</w:t>
      </w:r>
      <w:r>
        <w:rPr>
          <w:rFonts w:ascii="Segoe UI" w:eastAsia="ＭＳ Ｐゴシック" w:hAnsi="Segoe UI" w:cs="Segoe UI"/>
          <w:sz w:val="21"/>
          <w:szCs w:val="21"/>
          <w:lang w:eastAsia="ja-JP"/>
        </w:rPr>
        <w:t>:</w:t>
      </w:r>
      <w:r w:rsidRPr="00F15909">
        <w:rPr>
          <w:rFonts w:ascii="Segoe UI" w:eastAsia="ＭＳ Ｐゴシック" w:hAnsi="Segoe UI" w:cs="Segoe UI"/>
          <w:b/>
          <w:sz w:val="21"/>
          <w:szCs w:val="21"/>
          <w:lang w:eastAsia="ja-JP"/>
        </w:rPr>
        <w:t xml:space="preserve"> </w:t>
      </w:r>
      <w:r>
        <w:rPr>
          <w:rFonts w:ascii="Segoe UI" w:eastAsia="ＭＳ Ｐゴシック" w:hAnsi="Segoe UI" w:cs="Segoe UI"/>
          <w:b/>
          <w:sz w:val="21"/>
          <w:szCs w:val="21"/>
          <w:lang w:eastAsia="ja-JP"/>
        </w:rPr>
        <w:t xml:space="preserve">The F1-C setup procedure could be reused to establish the connection between </w:t>
      </w:r>
      <w:r>
        <w:rPr>
          <w:rFonts w:ascii="Segoe UI" w:eastAsia="ＭＳ Ｐゴシック" w:hAnsi="Segoe UI" w:cs="Segoe UI" w:hint="eastAsia"/>
          <w:b/>
          <w:sz w:val="21"/>
          <w:szCs w:val="21"/>
          <w:lang w:eastAsia="ja-JP"/>
        </w:rPr>
        <w:t xml:space="preserve">the </w:t>
      </w:r>
      <w:r>
        <w:rPr>
          <w:rFonts w:ascii="Segoe UI" w:eastAsia="ＭＳ Ｐゴシック" w:hAnsi="Segoe UI" w:cs="Segoe UI"/>
          <w:b/>
          <w:sz w:val="21"/>
          <w:szCs w:val="21"/>
          <w:lang w:eastAsia="ja-JP"/>
        </w:rPr>
        <w:t xml:space="preserve">target IAB-donor and the target IAB-DU. </w:t>
      </w:r>
    </w:p>
    <w:p w14:paraId="54489084" w14:textId="62388B19" w:rsidR="007634F9" w:rsidRDefault="00E0082D" w:rsidP="00E0082D">
      <w:pPr>
        <w:spacing w:after="240" w:line="240" w:lineRule="auto"/>
        <w:rPr>
          <w:rFonts w:ascii="Segoe UI" w:eastAsia="ＭＳ Ｐゴシック" w:hAnsi="Segoe UI" w:cs="Segoe UI"/>
          <w:b/>
          <w:sz w:val="21"/>
          <w:szCs w:val="21"/>
          <w:lang w:eastAsia="ja-JP"/>
        </w:rPr>
      </w:pPr>
      <w:r>
        <w:rPr>
          <w:rFonts w:ascii="Calibri" w:hAnsi="Calibri" w:cs="Calibri"/>
          <w:b/>
          <w:szCs w:val="24"/>
          <w:lang w:val="en-GB" w:eastAsia="ja-JP"/>
        </w:rPr>
        <w:t>Proposal</w:t>
      </w:r>
      <w:r w:rsidRPr="0002564B">
        <w:rPr>
          <w:rFonts w:ascii="Segoe UI" w:eastAsia="ＭＳ Ｐゴシック" w:hAnsi="Segoe UI" w:cs="Segoe UI"/>
          <w:b/>
          <w:sz w:val="21"/>
          <w:szCs w:val="21"/>
          <w:lang w:eastAsia="ja-JP"/>
        </w:rPr>
        <w:t xml:space="preserve"> </w:t>
      </w:r>
      <w:r>
        <w:rPr>
          <w:rFonts w:ascii="Segoe UI" w:eastAsia="ＭＳ Ｐゴシック" w:hAnsi="Segoe UI" w:cs="Segoe UI"/>
          <w:b/>
          <w:sz w:val="21"/>
          <w:szCs w:val="21"/>
          <w:lang w:eastAsia="ja-JP"/>
        </w:rPr>
        <w:t>3</w:t>
      </w:r>
      <w:r>
        <w:rPr>
          <w:rFonts w:ascii="Segoe UI" w:eastAsia="ＭＳ Ｐゴシック" w:hAnsi="Segoe UI" w:cs="Segoe UI"/>
          <w:sz w:val="21"/>
          <w:szCs w:val="21"/>
          <w:lang w:eastAsia="ja-JP"/>
        </w:rPr>
        <w:t>:</w:t>
      </w:r>
      <w:r w:rsidRPr="00F15909">
        <w:rPr>
          <w:rFonts w:ascii="Segoe UI" w:eastAsia="ＭＳ Ｐゴシック" w:hAnsi="Segoe UI" w:cs="Segoe UI"/>
          <w:b/>
          <w:sz w:val="21"/>
          <w:szCs w:val="21"/>
          <w:lang w:eastAsia="ja-JP"/>
        </w:rPr>
        <w:t xml:space="preserve"> </w:t>
      </w:r>
      <w:r w:rsidRPr="000C2358">
        <w:rPr>
          <w:rFonts w:ascii="Segoe UI" w:eastAsia="ＭＳ Ｐゴシック" w:hAnsi="Segoe UI" w:cs="Segoe UI"/>
          <w:b/>
          <w:sz w:val="21"/>
          <w:szCs w:val="21"/>
          <w:lang w:eastAsia="ja-JP"/>
        </w:rPr>
        <w:t>RAN3 agree that once the migration IAB node establishes RRC connection with the target IAB donor, it can initiate F1-C setup procedure between the target IAB-DU and the target IAB donor.</w:t>
      </w:r>
    </w:p>
    <w:p w14:paraId="78234AD5" w14:textId="77777777" w:rsidR="004A61F2" w:rsidRPr="00F1486F" w:rsidRDefault="004A61F2" w:rsidP="004A61F2">
      <w:pPr>
        <w:spacing w:after="240" w:line="240" w:lineRule="auto"/>
        <w:rPr>
          <w:rFonts w:ascii="Segoe UI" w:eastAsia="ＭＳ Ｐゴシック" w:hAnsi="Segoe UI" w:cs="Segoe UI"/>
          <w:b/>
          <w:sz w:val="21"/>
          <w:szCs w:val="21"/>
          <w:lang w:eastAsia="ja-JP"/>
        </w:rPr>
      </w:pPr>
      <w:r>
        <w:rPr>
          <w:rFonts w:ascii="Calibri" w:hAnsi="Calibri" w:cs="Calibri"/>
          <w:b/>
          <w:szCs w:val="24"/>
          <w:lang w:val="en-GB" w:eastAsia="ja-JP"/>
        </w:rPr>
        <w:t>Proposal</w:t>
      </w:r>
      <w:r w:rsidRPr="0002564B">
        <w:rPr>
          <w:rFonts w:ascii="Segoe UI" w:eastAsia="ＭＳ Ｐゴシック" w:hAnsi="Segoe UI" w:cs="Segoe UI"/>
          <w:b/>
          <w:sz w:val="21"/>
          <w:szCs w:val="21"/>
          <w:lang w:eastAsia="ja-JP"/>
        </w:rPr>
        <w:t xml:space="preserve"> </w:t>
      </w:r>
      <w:r>
        <w:rPr>
          <w:rFonts w:ascii="Segoe UI" w:eastAsia="ＭＳ Ｐゴシック" w:hAnsi="Segoe UI" w:cs="Segoe UI"/>
          <w:b/>
          <w:sz w:val="21"/>
          <w:szCs w:val="21"/>
          <w:lang w:eastAsia="ja-JP"/>
        </w:rPr>
        <w:t>4</w:t>
      </w:r>
      <w:r>
        <w:rPr>
          <w:rFonts w:ascii="Segoe UI" w:eastAsia="ＭＳ Ｐゴシック" w:hAnsi="Segoe UI" w:cs="Segoe UI"/>
          <w:sz w:val="21"/>
          <w:szCs w:val="21"/>
          <w:lang w:eastAsia="ja-JP"/>
        </w:rPr>
        <w:t>:</w:t>
      </w:r>
      <w:r w:rsidRPr="00F15909">
        <w:rPr>
          <w:rFonts w:ascii="Segoe UI" w:eastAsia="ＭＳ Ｐゴシック" w:hAnsi="Segoe UI" w:cs="Segoe UI"/>
          <w:b/>
          <w:sz w:val="21"/>
          <w:szCs w:val="21"/>
          <w:lang w:eastAsia="ja-JP"/>
        </w:rPr>
        <w:t xml:space="preserve"> </w:t>
      </w:r>
      <w:r>
        <w:rPr>
          <w:rFonts w:ascii="Segoe UI" w:eastAsia="ＭＳ Ｐゴシック" w:hAnsi="Segoe UI" w:cs="Segoe UI"/>
          <w:b/>
          <w:sz w:val="21"/>
          <w:szCs w:val="21"/>
          <w:lang w:eastAsia="ja-JP"/>
        </w:rPr>
        <w:t>The source IAB-donor shares the descendant IAB nodes identities to the target IAB donor.</w:t>
      </w:r>
    </w:p>
    <w:p w14:paraId="76312F89" w14:textId="2DEF45D0" w:rsidR="004A61F2" w:rsidRPr="00851846" w:rsidRDefault="004A61F2" w:rsidP="00851846">
      <w:pPr>
        <w:spacing w:after="240" w:line="300" w:lineRule="exact"/>
        <w:rPr>
          <w:rFonts w:ascii="Calibri" w:hAnsi="Calibri" w:cs="Calibri"/>
          <w:szCs w:val="24"/>
          <w:lang w:eastAsia="ja-JP"/>
        </w:rPr>
      </w:pPr>
      <w:r>
        <w:rPr>
          <w:rFonts w:ascii="Calibri" w:hAnsi="Calibri" w:cs="Calibri"/>
          <w:b/>
          <w:szCs w:val="24"/>
          <w:lang w:val="en-GB" w:eastAsia="ja-JP"/>
        </w:rPr>
        <w:t>Proposal</w:t>
      </w:r>
      <w:r w:rsidRPr="0002564B">
        <w:rPr>
          <w:rFonts w:ascii="Segoe UI" w:eastAsia="ＭＳ Ｐゴシック" w:hAnsi="Segoe UI" w:cs="Segoe UI"/>
          <w:b/>
          <w:sz w:val="21"/>
          <w:szCs w:val="21"/>
          <w:lang w:eastAsia="ja-JP"/>
        </w:rPr>
        <w:t xml:space="preserve"> </w:t>
      </w:r>
      <w:r>
        <w:rPr>
          <w:rFonts w:ascii="Segoe UI" w:eastAsia="ＭＳ Ｐゴシック" w:hAnsi="Segoe UI" w:cs="Segoe UI"/>
          <w:b/>
          <w:sz w:val="21"/>
          <w:szCs w:val="21"/>
          <w:lang w:eastAsia="ja-JP"/>
        </w:rPr>
        <w:t>5</w:t>
      </w:r>
      <w:r>
        <w:rPr>
          <w:rFonts w:ascii="Segoe UI" w:eastAsia="ＭＳ Ｐゴシック" w:hAnsi="Segoe UI" w:cs="Segoe UI"/>
          <w:sz w:val="21"/>
          <w:szCs w:val="21"/>
          <w:lang w:eastAsia="ja-JP"/>
        </w:rPr>
        <w:t>:</w:t>
      </w:r>
      <w:r>
        <w:rPr>
          <w:rFonts w:ascii="Segoe UI" w:eastAsia="ＭＳ Ｐゴシック" w:hAnsi="Segoe UI" w:cs="Segoe UI"/>
          <w:b/>
          <w:sz w:val="21"/>
          <w:szCs w:val="21"/>
          <w:lang w:eastAsia="ja-JP"/>
        </w:rPr>
        <w:t xml:space="preserve"> For inter-donor RLF recovery, the IAB-DU migration as well as migration of the descendant IAB nodes/UEs could reuse the same procedure as inter-donor migration. </w:t>
      </w:r>
    </w:p>
    <w:p w14:paraId="7EDD0C03" w14:textId="77777777" w:rsidR="008722B8" w:rsidRDefault="008722B8" w:rsidP="008722B8">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sectPr w:rsidR="008722B8" w:rsidSect="00E70630">
      <w:footerReference w:type="default" r:id="rId9"/>
      <w:pgSz w:w="12240" w:h="15840" w:code="1"/>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D8016" w14:textId="77777777" w:rsidR="00DB141A" w:rsidRDefault="00DB141A" w:rsidP="000519FA">
      <w:pPr>
        <w:spacing w:after="0" w:line="240" w:lineRule="auto"/>
      </w:pPr>
      <w:r>
        <w:separator/>
      </w:r>
    </w:p>
  </w:endnote>
  <w:endnote w:type="continuationSeparator" w:id="0">
    <w:p w14:paraId="3DC7486F" w14:textId="77777777" w:rsidR="00DB141A" w:rsidRDefault="00DB141A"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7189"/>
      <w:docPartObj>
        <w:docPartGallery w:val="Page Numbers (Bottom of Page)"/>
        <w:docPartUnique/>
      </w:docPartObj>
    </w:sdtPr>
    <w:sdtEndPr>
      <w:rPr>
        <w:noProof/>
      </w:rPr>
    </w:sdtEndPr>
    <w:sdtContent>
      <w:p w14:paraId="26384B7E" w14:textId="62637B3D" w:rsidR="00656182" w:rsidRDefault="00656182">
        <w:pPr>
          <w:pStyle w:val="ac"/>
          <w:jc w:val="center"/>
        </w:pPr>
        <w:r>
          <w:fldChar w:fldCharType="begin"/>
        </w:r>
        <w:r>
          <w:instrText xml:space="preserve"> PAGE   \* MERGEFORMAT </w:instrText>
        </w:r>
        <w:r>
          <w:fldChar w:fldCharType="separate"/>
        </w:r>
        <w:r w:rsidR="00CC266C">
          <w:rPr>
            <w:noProof/>
          </w:rPr>
          <w:t>3</w:t>
        </w:r>
        <w:r>
          <w:rPr>
            <w:noProof/>
          </w:rPr>
          <w:fldChar w:fldCharType="end"/>
        </w:r>
      </w:p>
    </w:sdtContent>
  </w:sdt>
  <w:p w14:paraId="58B4F823" w14:textId="77777777" w:rsidR="00656182" w:rsidRDefault="0065618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1A5C6" w14:textId="77777777" w:rsidR="00DB141A" w:rsidRDefault="00DB141A" w:rsidP="000519FA">
      <w:pPr>
        <w:spacing w:after="0" w:line="240" w:lineRule="auto"/>
      </w:pPr>
      <w:r>
        <w:separator/>
      </w:r>
    </w:p>
  </w:footnote>
  <w:footnote w:type="continuationSeparator" w:id="0">
    <w:p w14:paraId="4C9B1B6E" w14:textId="77777777" w:rsidR="00DB141A" w:rsidRDefault="00DB141A"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20D7"/>
    <w:multiLevelType w:val="hybridMultilevel"/>
    <w:tmpl w:val="67164644"/>
    <w:lvl w:ilvl="0" w:tplc="AED0D96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03D4C4C"/>
    <w:multiLevelType w:val="hybridMultilevel"/>
    <w:tmpl w:val="DF5E9E3A"/>
    <w:lvl w:ilvl="0" w:tplc="04090011">
      <w:start w:val="1"/>
      <w:numFmt w:val="decimalEnclosedCircle"/>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9942BEA"/>
    <w:multiLevelType w:val="hybridMultilevel"/>
    <w:tmpl w:val="C9C2AFF0"/>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120F06B9"/>
    <w:multiLevelType w:val="hybridMultilevel"/>
    <w:tmpl w:val="17F21626"/>
    <w:lvl w:ilvl="0" w:tplc="75C0D3C8">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5E23CA9"/>
    <w:multiLevelType w:val="hybridMultilevel"/>
    <w:tmpl w:val="A484F986"/>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D86D12"/>
    <w:multiLevelType w:val="hybridMultilevel"/>
    <w:tmpl w:val="2B26BEC6"/>
    <w:lvl w:ilvl="0" w:tplc="BD6EADC6">
      <w:start w:val="1"/>
      <w:numFmt w:val="bullet"/>
      <w:lvlText w:val="※"/>
      <w:lvlJc w:val="left"/>
      <w:pPr>
        <w:ind w:left="360" w:hanging="360"/>
      </w:pPr>
      <w:rPr>
        <w:rFonts w:ascii="ＭＳ 明朝" w:eastAsia="ＭＳ 明朝" w:hAnsi="ＭＳ 明朝" w:cs="Calibr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4113CB"/>
    <w:multiLevelType w:val="hybridMultilevel"/>
    <w:tmpl w:val="ECD2D5F0"/>
    <w:lvl w:ilvl="0" w:tplc="AC9444EE">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9C66ECB"/>
    <w:multiLevelType w:val="multilevel"/>
    <w:tmpl w:val="49C66ECB"/>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0" w15:restartNumberingAfterBreak="0">
    <w:nsid w:val="49CA1D97"/>
    <w:multiLevelType w:val="hybridMultilevel"/>
    <w:tmpl w:val="DF5E9E3A"/>
    <w:lvl w:ilvl="0" w:tplc="04090011">
      <w:start w:val="1"/>
      <w:numFmt w:val="decimalEnclosedCircle"/>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870777"/>
    <w:multiLevelType w:val="hybridMultilevel"/>
    <w:tmpl w:val="DF5E9E3A"/>
    <w:lvl w:ilvl="0" w:tplc="04090011">
      <w:start w:val="1"/>
      <w:numFmt w:val="decimalEnclosedCircle"/>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3" w15:restartNumberingAfterBreak="0">
    <w:nsid w:val="515741D3"/>
    <w:multiLevelType w:val="hybridMultilevel"/>
    <w:tmpl w:val="E572D132"/>
    <w:lvl w:ilvl="0" w:tplc="6B62EFD4">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14"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2A6694C"/>
    <w:multiLevelType w:val="hybridMultilevel"/>
    <w:tmpl w:val="8BDCEC04"/>
    <w:lvl w:ilvl="0" w:tplc="55586B0E">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91B38CF"/>
    <w:multiLevelType w:val="hybridMultilevel"/>
    <w:tmpl w:val="70501F32"/>
    <w:lvl w:ilvl="0" w:tplc="82CE9FD0">
      <w:start w:val="1"/>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B23D10"/>
    <w:multiLevelType w:val="hybridMultilevel"/>
    <w:tmpl w:val="B7C6C000"/>
    <w:lvl w:ilvl="0" w:tplc="04090001">
      <w:start w:val="1"/>
      <w:numFmt w:val="bullet"/>
      <w:lvlText w:val=""/>
      <w:lvlJc w:val="left"/>
      <w:pPr>
        <w:ind w:left="388" w:hanging="360"/>
      </w:pPr>
      <w:rPr>
        <w:rFonts w:ascii="Symbol" w:hAnsi="Symbol"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8" w15:restartNumberingAfterBreak="0">
    <w:nsid w:val="67BE24F0"/>
    <w:multiLevelType w:val="hybridMultilevel"/>
    <w:tmpl w:val="8CA4E6A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D8A17DA"/>
    <w:multiLevelType w:val="multilevel"/>
    <w:tmpl w:val="9670DE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5C37A7F"/>
    <w:multiLevelType w:val="multilevel"/>
    <w:tmpl w:val="1FF456CA"/>
    <w:lvl w:ilvl="0">
      <w:start w:val="2"/>
      <w:numFmt w:val="decimal"/>
      <w:lvlText w:val="%1."/>
      <w:lvlJc w:val="left"/>
      <w:pPr>
        <w:ind w:left="857" w:hanging="425"/>
      </w:pPr>
      <w:rPr>
        <w:rFonts w:hint="eastAsia"/>
      </w:rPr>
    </w:lvl>
    <w:lvl w:ilvl="1">
      <w:start w:val="1"/>
      <w:numFmt w:val="decimal"/>
      <w:lvlText w:val="%1.%2."/>
      <w:lvlJc w:val="left"/>
      <w:pPr>
        <w:ind w:left="999" w:hanging="567"/>
      </w:pPr>
      <w:rPr>
        <w:rFonts w:hint="eastAsia"/>
      </w:rPr>
    </w:lvl>
    <w:lvl w:ilvl="2">
      <w:start w:val="1"/>
      <w:numFmt w:val="decimal"/>
      <w:lvlText w:val="%1.%2.%3."/>
      <w:lvlJc w:val="left"/>
      <w:pPr>
        <w:ind w:left="1141" w:hanging="709"/>
      </w:pPr>
      <w:rPr>
        <w:rFonts w:hint="eastAsia"/>
      </w:rPr>
    </w:lvl>
    <w:lvl w:ilvl="3">
      <w:start w:val="1"/>
      <w:numFmt w:val="decimal"/>
      <w:lvlText w:val="%1.%2.%3.%4."/>
      <w:lvlJc w:val="left"/>
      <w:pPr>
        <w:ind w:left="1283" w:hanging="851"/>
      </w:pPr>
      <w:rPr>
        <w:rFonts w:hint="eastAsia"/>
      </w:rPr>
    </w:lvl>
    <w:lvl w:ilvl="4">
      <w:start w:val="1"/>
      <w:numFmt w:val="decimal"/>
      <w:lvlText w:val="%1.%2.%3.%4.%5."/>
      <w:lvlJc w:val="left"/>
      <w:pPr>
        <w:ind w:left="1424" w:hanging="992"/>
      </w:pPr>
      <w:rPr>
        <w:rFonts w:hint="eastAsia"/>
      </w:rPr>
    </w:lvl>
    <w:lvl w:ilvl="5">
      <w:start w:val="1"/>
      <w:numFmt w:val="decimal"/>
      <w:lvlText w:val="%1.%2.%3.%4.%5.%6."/>
      <w:lvlJc w:val="left"/>
      <w:pPr>
        <w:ind w:left="1566" w:hanging="1134"/>
      </w:pPr>
      <w:rPr>
        <w:rFonts w:hint="eastAsia"/>
      </w:rPr>
    </w:lvl>
    <w:lvl w:ilvl="6">
      <w:start w:val="1"/>
      <w:numFmt w:val="decimal"/>
      <w:lvlText w:val="%1.%2.%3.%4.%5.%6.%7."/>
      <w:lvlJc w:val="left"/>
      <w:pPr>
        <w:ind w:left="1708" w:hanging="1276"/>
      </w:pPr>
      <w:rPr>
        <w:rFonts w:hint="eastAsia"/>
      </w:rPr>
    </w:lvl>
    <w:lvl w:ilvl="7">
      <w:start w:val="1"/>
      <w:numFmt w:val="decimal"/>
      <w:lvlText w:val="%1.%2.%3.%4.%5.%6.%7.%8."/>
      <w:lvlJc w:val="left"/>
      <w:pPr>
        <w:ind w:left="1850" w:hanging="1418"/>
      </w:pPr>
      <w:rPr>
        <w:rFonts w:hint="eastAsia"/>
      </w:rPr>
    </w:lvl>
    <w:lvl w:ilvl="8">
      <w:start w:val="1"/>
      <w:numFmt w:val="decimal"/>
      <w:lvlText w:val="%1.%2.%3.%4.%5.%6.%7.%8.%9."/>
      <w:lvlJc w:val="left"/>
      <w:pPr>
        <w:ind w:left="1991" w:hanging="1559"/>
      </w:pPr>
      <w:rPr>
        <w:rFonts w:hint="eastAsia"/>
      </w:rPr>
    </w:lvl>
  </w:abstractNum>
  <w:num w:numId="1">
    <w:abstractNumId w:val="2"/>
  </w:num>
  <w:num w:numId="2">
    <w:abstractNumId w:val="11"/>
  </w:num>
  <w:num w:numId="3">
    <w:abstractNumId w:val="20"/>
  </w:num>
  <w:num w:numId="4">
    <w:abstractNumId w:val="3"/>
  </w:num>
  <w:num w:numId="5">
    <w:abstractNumId w:val="6"/>
  </w:num>
  <w:num w:numId="6">
    <w:abstractNumId w:val="13"/>
  </w:num>
  <w:num w:numId="7">
    <w:abstractNumId w:val="15"/>
  </w:num>
  <w:num w:numId="8">
    <w:abstractNumId w:val="9"/>
  </w:num>
  <w:num w:numId="9">
    <w:abstractNumId w:val="0"/>
  </w:num>
  <w:num w:numId="10">
    <w:abstractNumId w:val="7"/>
  </w:num>
  <w:num w:numId="11">
    <w:abstractNumId w:val="18"/>
  </w:num>
  <w:num w:numId="12">
    <w:abstractNumId w:val="10"/>
  </w:num>
  <w:num w:numId="13">
    <w:abstractNumId w:val="12"/>
  </w:num>
  <w:num w:numId="14">
    <w:abstractNumId w:val="1"/>
  </w:num>
  <w:num w:numId="15">
    <w:abstractNumId w:val="8"/>
  </w:num>
  <w:num w:numId="16">
    <w:abstractNumId w:val="5"/>
  </w:num>
  <w:num w:numId="17">
    <w:abstractNumId w:val="17"/>
  </w:num>
  <w:num w:numId="18">
    <w:abstractNumId w:val="14"/>
  </w:num>
  <w:num w:numId="19">
    <w:abstractNumId w:val="4"/>
  </w:num>
  <w:num w:numId="20">
    <w:abstractNumId w:val="1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174"/>
    <w:rsid w:val="000023B2"/>
    <w:rsid w:val="00002481"/>
    <w:rsid w:val="000035F9"/>
    <w:rsid w:val="00003FCA"/>
    <w:rsid w:val="00004824"/>
    <w:rsid w:val="00004FEB"/>
    <w:rsid w:val="0000588A"/>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34B"/>
    <w:rsid w:val="00021E7B"/>
    <w:rsid w:val="00022204"/>
    <w:rsid w:val="00022C35"/>
    <w:rsid w:val="00022CCB"/>
    <w:rsid w:val="00025435"/>
    <w:rsid w:val="0002564B"/>
    <w:rsid w:val="00027E68"/>
    <w:rsid w:val="00030F14"/>
    <w:rsid w:val="00032FF5"/>
    <w:rsid w:val="000330CB"/>
    <w:rsid w:val="00034701"/>
    <w:rsid w:val="000366F9"/>
    <w:rsid w:val="0003672D"/>
    <w:rsid w:val="0003674B"/>
    <w:rsid w:val="00036E7E"/>
    <w:rsid w:val="000373DA"/>
    <w:rsid w:val="00037DAC"/>
    <w:rsid w:val="00040121"/>
    <w:rsid w:val="0004043A"/>
    <w:rsid w:val="00041657"/>
    <w:rsid w:val="00042632"/>
    <w:rsid w:val="00042AC2"/>
    <w:rsid w:val="00042C03"/>
    <w:rsid w:val="000479D5"/>
    <w:rsid w:val="000519FA"/>
    <w:rsid w:val="000526AC"/>
    <w:rsid w:val="00052CB2"/>
    <w:rsid w:val="00052E12"/>
    <w:rsid w:val="000530E0"/>
    <w:rsid w:val="000534D4"/>
    <w:rsid w:val="000549B7"/>
    <w:rsid w:val="000549D5"/>
    <w:rsid w:val="00055C01"/>
    <w:rsid w:val="00056294"/>
    <w:rsid w:val="00056461"/>
    <w:rsid w:val="00057BAC"/>
    <w:rsid w:val="00057E68"/>
    <w:rsid w:val="00061017"/>
    <w:rsid w:val="00061AE4"/>
    <w:rsid w:val="0006202B"/>
    <w:rsid w:val="00062F05"/>
    <w:rsid w:val="00063534"/>
    <w:rsid w:val="000648F1"/>
    <w:rsid w:val="00064F92"/>
    <w:rsid w:val="000654AE"/>
    <w:rsid w:val="00066DC9"/>
    <w:rsid w:val="000709E9"/>
    <w:rsid w:val="00072A13"/>
    <w:rsid w:val="000733F5"/>
    <w:rsid w:val="00073C1D"/>
    <w:rsid w:val="00073C42"/>
    <w:rsid w:val="000742CA"/>
    <w:rsid w:val="0007451A"/>
    <w:rsid w:val="000746F1"/>
    <w:rsid w:val="00074772"/>
    <w:rsid w:val="00074CAD"/>
    <w:rsid w:val="00075BA9"/>
    <w:rsid w:val="000778D6"/>
    <w:rsid w:val="00080069"/>
    <w:rsid w:val="00080A19"/>
    <w:rsid w:val="00081065"/>
    <w:rsid w:val="000826B7"/>
    <w:rsid w:val="000836E2"/>
    <w:rsid w:val="000838F7"/>
    <w:rsid w:val="00083B3E"/>
    <w:rsid w:val="000844D3"/>
    <w:rsid w:val="000852A4"/>
    <w:rsid w:val="00090665"/>
    <w:rsid w:val="00091B05"/>
    <w:rsid w:val="00093162"/>
    <w:rsid w:val="00093F23"/>
    <w:rsid w:val="00094199"/>
    <w:rsid w:val="000955A2"/>
    <w:rsid w:val="000971F4"/>
    <w:rsid w:val="000A2526"/>
    <w:rsid w:val="000A3139"/>
    <w:rsid w:val="000A314C"/>
    <w:rsid w:val="000A360C"/>
    <w:rsid w:val="000A4533"/>
    <w:rsid w:val="000A4AA0"/>
    <w:rsid w:val="000A50F5"/>
    <w:rsid w:val="000A5905"/>
    <w:rsid w:val="000A74FA"/>
    <w:rsid w:val="000A7CC5"/>
    <w:rsid w:val="000B0330"/>
    <w:rsid w:val="000B26CD"/>
    <w:rsid w:val="000B2D61"/>
    <w:rsid w:val="000B381D"/>
    <w:rsid w:val="000B4ECA"/>
    <w:rsid w:val="000B5D54"/>
    <w:rsid w:val="000B70D3"/>
    <w:rsid w:val="000B7583"/>
    <w:rsid w:val="000C01A3"/>
    <w:rsid w:val="000C04BB"/>
    <w:rsid w:val="000C1B01"/>
    <w:rsid w:val="000C2358"/>
    <w:rsid w:val="000C2A54"/>
    <w:rsid w:val="000C3414"/>
    <w:rsid w:val="000C4457"/>
    <w:rsid w:val="000C584A"/>
    <w:rsid w:val="000C704A"/>
    <w:rsid w:val="000C7447"/>
    <w:rsid w:val="000C7469"/>
    <w:rsid w:val="000C790A"/>
    <w:rsid w:val="000D04AB"/>
    <w:rsid w:val="000D0C3B"/>
    <w:rsid w:val="000D0D93"/>
    <w:rsid w:val="000D34DB"/>
    <w:rsid w:val="000D3E27"/>
    <w:rsid w:val="000D403A"/>
    <w:rsid w:val="000D4C06"/>
    <w:rsid w:val="000E00F6"/>
    <w:rsid w:val="000E0D7C"/>
    <w:rsid w:val="000E1BE7"/>
    <w:rsid w:val="000E20D5"/>
    <w:rsid w:val="000E349C"/>
    <w:rsid w:val="000E3B9A"/>
    <w:rsid w:val="000E4F92"/>
    <w:rsid w:val="000E5B3D"/>
    <w:rsid w:val="000E6009"/>
    <w:rsid w:val="000E6025"/>
    <w:rsid w:val="000E79B1"/>
    <w:rsid w:val="000E7C02"/>
    <w:rsid w:val="000E7F24"/>
    <w:rsid w:val="000F015B"/>
    <w:rsid w:val="000F05B2"/>
    <w:rsid w:val="000F0C87"/>
    <w:rsid w:val="000F1758"/>
    <w:rsid w:val="000F185C"/>
    <w:rsid w:val="000F42D9"/>
    <w:rsid w:val="000F52E9"/>
    <w:rsid w:val="000F53E9"/>
    <w:rsid w:val="000F5801"/>
    <w:rsid w:val="000F5F2A"/>
    <w:rsid w:val="001005D2"/>
    <w:rsid w:val="001009AD"/>
    <w:rsid w:val="00101870"/>
    <w:rsid w:val="00101BBD"/>
    <w:rsid w:val="001026A9"/>
    <w:rsid w:val="00103493"/>
    <w:rsid w:val="00103FE5"/>
    <w:rsid w:val="00104096"/>
    <w:rsid w:val="00105C9E"/>
    <w:rsid w:val="0010616A"/>
    <w:rsid w:val="001063BC"/>
    <w:rsid w:val="00107154"/>
    <w:rsid w:val="00107F56"/>
    <w:rsid w:val="00110692"/>
    <w:rsid w:val="00110759"/>
    <w:rsid w:val="0011086B"/>
    <w:rsid w:val="00110BF1"/>
    <w:rsid w:val="00113025"/>
    <w:rsid w:val="00113A95"/>
    <w:rsid w:val="00114966"/>
    <w:rsid w:val="001175C0"/>
    <w:rsid w:val="0012237E"/>
    <w:rsid w:val="00122ADB"/>
    <w:rsid w:val="0012491E"/>
    <w:rsid w:val="0012564A"/>
    <w:rsid w:val="00127734"/>
    <w:rsid w:val="0013288C"/>
    <w:rsid w:val="00132E99"/>
    <w:rsid w:val="001330E2"/>
    <w:rsid w:val="00140E8C"/>
    <w:rsid w:val="00141632"/>
    <w:rsid w:val="0014187A"/>
    <w:rsid w:val="001418C6"/>
    <w:rsid w:val="001430FB"/>
    <w:rsid w:val="00143A4D"/>
    <w:rsid w:val="00144667"/>
    <w:rsid w:val="00145782"/>
    <w:rsid w:val="00145B91"/>
    <w:rsid w:val="00145BA9"/>
    <w:rsid w:val="00145BF9"/>
    <w:rsid w:val="00146CD2"/>
    <w:rsid w:val="00147201"/>
    <w:rsid w:val="001475DC"/>
    <w:rsid w:val="00147D27"/>
    <w:rsid w:val="001523AE"/>
    <w:rsid w:val="00152BF2"/>
    <w:rsid w:val="00153AB6"/>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98"/>
    <w:rsid w:val="00166CA6"/>
    <w:rsid w:val="00170442"/>
    <w:rsid w:val="001712ED"/>
    <w:rsid w:val="00171DDF"/>
    <w:rsid w:val="00174964"/>
    <w:rsid w:val="001820FF"/>
    <w:rsid w:val="0018472F"/>
    <w:rsid w:val="0018564F"/>
    <w:rsid w:val="001857A5"/>
    <w:rsid w:val="0018599D"/>
    <w:rsid w:val="00185D11"/>
    <w:rsid w:val="001862BE"/>
    <w:rsid w:val="00187C6F"/>
    <w:rsid w:val="00187F07"/>
    <w:rsid w:val="001911D4"/>
    <w:rsid w:val="00191A9B"/>
    <w:rsid w:val="00192123"/>
    <w:rsid w:val="001921EC"/>
    <w:rsid w:val="00192935"/>
    <w:rsid w:val="00192EB1"/>
    <w:rsid w:val="00193057"/>
    <w:rsid w:val="001933AA"/>
    <w:rsid w:val="00193781"/>
    <w:rsid w:val="00193810"/>
    <w:rsid w:val="00194ADB"/>
    <w:rsid w:val="00195EDC"/>
    <w:rsid w:val="0019665C"/>
    <w:rsid w:val="001966F6"/>
    <w:rsid w:val="00196D8E"/>
    <w:rsid w:val="00197E0B"/>
    <w:rsid w:val="001A0785"/>
    <w:rsid w:val="001A085C"/>
    <w:rsid w:val="001A0B1E"/>
    <w:rsid w:val="001A0FB6"/>
    <w:rsid w:val="001A141D"/>
    <w:rsid w:val="001A1FF8"/>
    <w:rsid w:val="001A4BC4"/>
    <w:rsid w:val="001A5D61"/>
    <w:rsid w:val="001A65FA"/>
    <w:rsid w:val="001A6D9F"/>
    <w:rsid w:val="001B0323"/>
    <w:rsid w:val="001B035A"/>
    <w:rsid w:val="001B15D0"/>
    <w:rsid w:val="001B1785"/>
    <w:rsid w:val="001B20D7"/>
    <w:rsid w:val="001B28EA"/>
    <w:rsid w:val="001B30BA"/>
    <w:rsid w:val="001B376A"/>
    <w:rsid w:val="001B474B"/>
    <w:rsid w:val="001B53EC"/>
    <w:rsid w:val="001B7391"/>
    <w:rsid w:val="001B77EE"/>
    <w:rsid w:val="001C06C3"/>
    <w:rsid w:val="001C0C38"/>
    <w:rsid w:val="001C1920"/>
    <w:rsid w:val="001C54C3"/>
    <w:rsid w:val="001C5E5F"/>
    <w:rsid w:val="001C66D9"/>
    <w:rsid w:val="001C67AE"/>
    <w:rsid w:val="001C6E3E"/>
    <w:rsid w:val="001C7E39"/>
    <w:rsid w:val="001D1BAC"/>
    <w:rsid w:val="001D4857"/>
    <w:rsid w:val="001D4BD9"/>
    <w:rsid w:val="001D56D7"/>
    <w:rsid w:val="001D5D44"/>
    <w:rsid w:val="001D7850"/>
    <w:rsid w:val="001D7AFF"/>
    <w:rsid w:val="001D7C16"/>
    <w:rsid w:val="001E0C2B"/>
    <w:rsid w:val="001E0D4D"/>
    <w:rsid w:val="001E117E"/>
    <w:rsid w:val="001E1EC4"/>
    <w:rsid w:val="001E2163"/>
    <w:rsid w:val="001E3C95"/>
    <w:rsid w:val="001E46B5"/>
    <w:rsid w:val="001E4A10"/>
    <w:rsid w:val="001E51C0"/>
    <w:rsid w:val="001E57BA"/>
    <w:rsid w:val="001E5AC1"/>
    <w:rsid w:val="001E5FE9"/>
    <w:rsid w:val="001E66B6"/>
    <w:rsid w:val="001E6E6C"/>
    <w:rsid w:val="001E74EA"/>
    <w:rsid w:val="001F01EA"/>
    <w:rsid w:val="001F0323"/>
    <w:rsid w:val="001F1761"/>
    <w:rsid w:val="001F2252"/>
    <w:rsid w:val="001F2A88"/>
    <w:rsid w:val="001F3242"/>
    <w:rsid w:val="001F3A08"/>
    <w:rsid w:val="001F3BB1"/>
    <w:rsid w:val="001F4578"/>
    <w:rsid w:val="001F46A7"/>
    <w:rsid w:val="001F5181"/>
    <w:rsid w:val="001F5996"/>
    <w:rsid w:val="001F6406"/>
    <w:rsid w:val="00201E98"/>
    <w:rsid w:val="00201FAF"/>
    <w:rsid w:val="00201FC5"/>
    <w:rsid w:val="00202FFE"/>
    <w:rsid w:val="002037DC"/>
    <w:rsid w:val="00204024"/>
    <w:rsid w:val="002068F7"/>
    <w:rsid w:val="00206C2D"/>
    <w:rsid w:val="00206E46"/>
    <w:rsid w:val="002071E5"/>
    <w:rsid w:val="00211821"/>
    <w:rsid w:val="00211921"/>
    <w:rsid w:val="00211D5A"/>
    <w:rsid w:val="00212615"/>
    <w:rsid w:val="002127BD"/>
    <w:rsid w:val="002127E1"/>
    <w:rsid w:val="00214155"/>
    <w:rsid w:val="002157D5"/>
    <w:rsid w:val="0021618C"/>
    <w:rsid w:val="002176CB"/>
    <w:rsid w:val="00217D95"/>
    <w:rsid w:val="00220E5E"/>
    <w:rsid w:val="002210AA"/>
    <w:rsid w:val="00221C59"/>
    <w:rsid w:val="002229D5"/>
    <w:rsid w:val="00223E8F"/>
    <w:rsid w:val="0022460B"/>
    <w:rsid w:val="00225532"/>
    <w:rsid w:val="00225856"/>
    <w:rsid w:val="002258AF"/>
    <w:rsid w:val="0022777D"/>
    <w:rsid w:val="00231881"/>
    <w:rsid w:val="00231EB5"/>
    <w:rsid w:val="00232F1F"/>
    <w:rsid w:val="00233B26"/>
    <w:rsid w:val="0023472E"/>
    <w:rsid w:val="002349C5"/>
    <w:rsid w:val="00234A84"/>
    <w:rsid w:val="00235507"/>
    <w:rsid w:val="00235B85"/>
    <w:rsid w:val="0023711F"/>
    <w:rsid w:val="002379BA"/>
    <w:rsid w:val="002409ED"/>
    <w:rsid w:val="002414EE"/>
    <w:rsid w:val="00241571"/>
    <w:rsid w:val="00241980"/>
    <w:rsid w:val="00242B5E"/>
    <w:rsid w:val="0024311D"/>
    <w:rsid w:val="0024363B"/>
    <w:rsid w:val="00244A46"/>
    <w:rsid w:val="00246B00"/>
    <w:rsid w:val="00246FCE"/>
    <w:rsid w:val="00250A19"/>
    <w:rsid w:val="00251201"/>
    <w:rsid w:val="00251516"/>
    <w:rsid w:val="00252214"/>
    <w:rsid w:val="00252734"/>
    <w:rsid w:val="00252EFC"/>
    <w:rsid w:val="00253FFC"/>
    <w:rsid w:val="002546E8"/>
    <w:rsid w:val="00254B62"/>
    <w:rsid w:val="00254B74"/>
    <w:rsid w:val="002554AD"/>
    <w:rsid w:val="002557DB"/>
    <w:rsid w:val="002623FA"/>
    <w:rsid w:val="00264714"/>
    <w:rsid w:val="00264C75"/>
    <w:rsid w:val="002651ED"/>
    <w:rsid w:val="00267DB7"/>
    <w:rsid w:val="0027054D"/>
    <w:rsid w:val="00271E21"/>
    <w:rsid w:val="00272A3F"/>
    <w:rsid w:val="002749E5"/>
    <w:rsid w:val="00280433"/>
    <w:rsid w:val="0028196C"/>
    <w:rsid w:val="00281A49"/>
    <w:rsid w:val="002827B1"/>
    <w:rsid w:val="00283059"/>
    <w:rsid w:val="00283A4F"/>
    <w:rsid w:val="00284128"/>
    <w:rsid w:val="00285976"/>
    <w:rsid w:val="00285994"/>
    <w:rsid w:val="002879E5"/>
    <w:rsid w:val="00287F3F"/>
    <w:rsid w:val="00290268"/>
    <w:rsid w:val="0029047E"/>
    <w:rsid w:val="00292DA5"/>
    <w:rsid w:val="00292F13"/>
    <w:rsid w:val="0029466A"/>
    <w:rsid w:val="0029469B"/>
    <w:rsid w:val="00294B09"/>
    <w:rsid w:val="0029570B"/>
    <w:rsid w:val="00295971"/>
    <w:rsid w:val="002A059C"/>
    <w:rsid w:val="002A0815"/>
    <w:rsid w:val="002A1E49"/>
    <w:rsid w:val="002A3E12"/>
    <w:rsid w:val="002A42E2"/>
    <w:rsid w:val="002A5488"/>
    <w:rsid w:val="002A55CE"/>
    <w:rsid w:val="002A60AD"/>
    <w:rsid w:val="002A679B"/>
    <w:rsid w:val="002A77F6"/>
    <w:rsid w:val="002B0B4B"/>
    <w:rsid w:val="002B1DD7"/>
    <w:rsid w:val="002B2347"/>
    <w:rsid w:val="002B236A"/>
    <w:rsid w:val="002B3F41"/>
    <w:rsid w:val="002B4260"/>
    <w:rsid w:val="002B4623"/>
    <w:rsid w:val="002B4A5B"/>
    <w:rsid w:val="002B4BFF"/>
    <w:rsid w:val="002B50BB"/>
    <w:rsid w:val="002B5306"/>
    <w:rsid w:val="002B6748"/>
    <w:rsid w:val="002B6E28"/>
    <w:rsid w:val="002B74FC"/>
    <w:rsid w:val="002C003C"/>
    <w:rsid w:val="002C08CE"/>
    <w:rsid w:val="002C0EE1"/>
    <w:rsid w:val="002C1862"/>
    <w:rsid w:val="002C3A0E"/>
    <w:rsid w:val="002C4D5E"/>
    <w:rsid w:val="002D0565"/>
    <w:rsid w:val="002D0D0A"/>
    <w:rsid w:val="002D12D9"/>
    <w:rsid w:val="002D1E55"/>
    <w:rsid w:val="002D24D0"/>
    <w:rsid w:val="002D293F"/>
    <w:rsid w:val="002D2CA5"/>
    <w:rsid w:val="002D3390"/>
    <w:rsid w:val="002D3C75"/>
    <w:rsid w:val="002D3CCF"/>
    <w:rsid w:val="002D3D84"/>
    <w:rsid w:val="002D40CB"/>
    <w:rsid w:val="002D45E1"/>
    <w:rsid w:val="002D5E60"/>
    <w:rsid w:val="002D627F"/>
    <w:rsid w:val="002D6E8E"/>
    <w:rsid w:val="002D7951"/>
    <w:rsid w:val="002E1513"/>
    <w:rsid w:val="002E1544"/>
    <w:rsid w:val="002E2726"/>
    <w:rsid w:val="002E2A41"/>
    <w:rsid w:val="002E3CDF"/>
    <w:rsid w:val="002E3CF7"/>
    <w:rsid w:val="002E4D56"/>
    <w:rsid w:val="002E61C2"/>
    <w:rsid w:val="002E6500"/>
    <w:rsid w:val="002E7049"/>
    <w:rsid w:val="002E7C9B"/>
    <w:rsid w:val="002F208E"/>
    <w:rsid w:val="002F4A4E"/>
    <w:rsid w:val="002F51C4"/>
    <w:rsid w:val="002F64BF"/>
    <w:rsid w:val="002F7626"/>
    <w:rsid w:val="002F7864"/>
    <w:rsid w:val="002F7A2C"/>
    <w:rsid w:val="00300ED0"/>
    <w:rsid w:val="0030126D"/>
    <w:rsid w:val="003035B4"/>
    <w:rsid w:val="00303937"/>
    <w:rsid w:val="00303ED4"/>
    <w:rsid w:val="00304B45"/>
    <w:rsid w:val="00305771"/>
    <w:rsid w:val="00307D91"/>
    <w:rsid w:val="00312100"/>
    <w:rsid w:val="0031217B"/>
    <w:rsid w:val="003122B9"/>
    <w:rsid w:val="00312BC8"/>
    <w:rsid w:val="00313E04"/>
    <w:rsid w:val="0031469A"/>
    <w:rsid w:val="00314AF9"/>
    <w:rsid w:val="00314F16"/>
    <w:rsid w:val="0031597F"/>
    <w:rsid w:val="00315E0E"/>
    <w:rsid w:val="0031673D"/>
    <w:rsid w:val="0031678A"/>
    <w:rsid w:val="00316B0D"/>
    <w:rsid w:val="00317685"/>
    <w:rsid w:val="003211F2"/>
    <w:rsid w:val="003212D6"/>
    <w:rsid w:val="003215B5"/>
    <w:rsid w:val="00321AFB"/>
    <w:rsid w:val="003222AC"/>
    <w:rsid w:val="003224EC"/>
    <w:rsid w:val="00322B5D"/>
    <w:rsid w:val="00322BFE"/>
    <w:rsid w:val="003247BD"/>
    <w:rsid w:val="00325F8E"/>
    <w:rsid w:val="00326119"/>
    <w:rsid w:val="003271D0"/>
    <w:rsid w:val="00327608"/>
    <w:rsid w:val="003278C5"/>
    <w:rsid w:val="003301A7"/>
    <w:rsid w:val="00331232"/>
    <w:rsid w:val="00331463"/>
    <w:rsid w:val="003327A4"/>
    <w:rsid w:val="003334C5"/>
    <w:rsid w:val="00334582"/>
    <w:rsid w:val="003348E7"/>
    <w:rsid w:val="00336330"/>
    <w:rsid w:val="003367CA"/>
    <w:rsid w:val="00336803"/>
    <w:rsid w:val="003374F0"/>
    <w:rsid w:val="0033788C"/>
    <w:rsid w:val="00340733"/>
    <w:rsid w:val="0034182C"/>
    <w:rsid w:val="0034183E"/>
    <w:rsid w:val="0034286E"/>
    <w:rsid w:val="00343E11"/>
    <w:rsid w:val="00343F80"/>
    <w:rsid w:val="003440A2"/>
    <w:rsid w:val="00344CD7"/>
    <w:rsid w:val="003450C7"/>
    <w:rsid w:val="00345765"/>
    <w:rsid w:val="00346784"/>
    <w:rsid w:val="00346842"/>
    <w:rsid w:val="00346EB7"/>
    <w:rsid w:val="00347A04"/>
    <w:rsid w:val="0035022C"/>
    <w:rsid w:val="00350333"/>
    <w:rsid w:val="003507A1"/>
    <w:rsid w:val="00350A34"/>
    <w:rsid w:val="00351854"/>
    <w:rsid w:val="00351F74"/>
    <w:rsid w:val="00352502"/>
    <w:rsid w:val="0035316B"/>
    <w:rsid w:val="0035455A"/>
    <w:rsid w:val="00355755"/>
    <w:rsid w:val="00356DBF"/>
    <w:rsid w:val="00360C68"/>
    <w:rsid w:val="00362B48"/>
    <w:rsid w:val="00362F49"/>
    <w:rsid w:val="00363FDF"/>
    <w:rsid w:val="00364218"/>
    <w:rsid w:val="003646D5"/>
    <w:rsid w:val="00364728"/>
    <w:rsid w:val="003648CD"/>
    <w:rsid w:val="00364A58"/>
    <w:rsid w:val="00364CD5"/>
    <w:rsid w:val="003652F8"/>
    <w:rsid w:val="003662AE"/>
    <w:rsid w:val="0036758B"/>
    <w:rsid w:val="003708C9"/>
    <w:rsid w:val="00370EEE"/>
    <w:rsid w:val="00371C58"/>
    <w:rsid w:val="003723A5"/>
    <w:rsid w:val="00373250"/>
    <w:rsid w:val="003736D6"/>
    <w:rsid w:val="00373EAF"/>
    <w:rsid w:val="00373FE4"/>
    <w:rsid w:val="00375407"/>
    <w:rsid w:val="0037598E"/>
    <w:rsid w:val="0037633E"/>
    <w:rsid w:val="00376D65"/>
    <w:rsid w:val="00377305"/>
    <w:rsid w:val="00377F40"/>
    <w:rsid w:val="00380E2E"/>
    <w:rsid w:val="003810A3"/>
    <w:rsid w:val="003810AB"/>
    <w:rsid w:val="00384348"/>
    <w:rsid w:val="00384424"/>
    <w:rsid w:val="0038471D"/>
    <w:rsid w:val="00385A41"/>
    <w:rsid w:val="00385E8A"/>
    <w:rsid w:val="003879B9"/>
    <w:rsid w:val="0039081F"/>
    <w:rsid w:val="0039106B"/>
    <w:rsid w:val="00391CDC"/>
    <w:rsid w:val="0039257E"/>
    <w:rsid w:val="0039273B"/>
    <w:rsid w:val="003939D2"/>
    <w:rsid w:val="00393B0F"/>
    <w:rsid w:val="00393BCF"/>
    <w:rsid w:val="00393C0B"/>
    <w:rsid w:val="00394FEB"/>
    <w:rsid w:val="003950D0"/>
    <w:rsid w:val="00395995"/>
    <w:rsid w:val="00396DE0"/>
    <w:rsid w:val="003970B6"/>
    <w:rsid w:val="003975A3"/>
    <w:rsid w:val="003A00AC"/>
    <w:rsid w:val="003A0535"/>
    <w:rsid w:val="003A1332"/>
    <w:rsid w:val="003A1C36"/>
    <w:rsid w:val="003A29CC"/>
    <w:rsid w:val="003A3307"/>
    <w:rsid w:val="003A5355"/>
    <w:rsid w:val="003A5C2D"/>
    <w:rsid w:val="003A5D6E"/>
    <w:rsid w:val="003A70B9"/>
    <w:rsid w:val="003A710E"/>
    <w:rsid w:val="003B045B"/>
    <w:rsid w:val="003B2EE2"/>
    <w:rsid w:val="003B2F8D"/>
    <w:rsid w:val="003B47A7"/>
    <w:rsid w:val="003B5995"/>
    <w:rsid w:val="003B69F3"/>
    <w:rsid w:val="003B77C7"/>
    <w:rsid w:val="003B7CE7"/>
    <w:rsid w:val="003B7D1F"/>
    <w:rsid w:val="003B7FDE"/>
    <w:rsid w:val="003C0B0D"/>
    <w:rsid w:val="003C1304"/>
    <w:rsid w:val="003C3B41"/>
    <w:rsid w:val="003C3CCE"/>
    <w:rsid w:val="003C5649"/>
    <w:rsid w:val="003C61F5"/>
    <w:rsid w:val="003C74C8"/>
    <w:rsid w:val="003C7BC5"/>
    <w:rsid w:val="003D021B"/>
    <w:rsid w:val="003D08C9"/>
    <w:rsid w:val="003D1304"/>
    <w:rsid w:val="003D42E2"/>
    <w:rsid w:val="003D467F"/>
    <w:rsid w:val="003D48AF"/>
    <w:rsid w:val="003D59C4"/>
    <w:rsid w:val="003D5B1B"/>
    <w:rsid w:val="003D5D1F"/>
    <w:rsid w:val="003D5E0A"/>
    <w:rsid w:val="003D669F"/>
    <w:rsid w:val="003D7128"/>
    <w:rsid w:val="003D7AAB"/>
    <w:rsid w:val="003D7F2C"/>
    <w:rsid w:val="003E0576"/>
    <w:rsid w:val="003E1ACB"/>
    <w:rsid w:val="003E28F4"/>
    <w:rsid w:val="003E2915"/>
    <w:rsid w:val="003E34ED"/>
    <w:rsid w:val="003E3B5C"/>
    <w:rsid w:val="003E6700"/>
    <w:rsid w:val="003E77C6"/>
    <w:rsid w:val="003E7A77"/>
    <w:rsid w:val="003F027B"/>
    <w:rsid w:val="003F1878"/>
    <w:rsid w:val="003F3036"/>
    <w:rsid w:val="003F34DB"/>
    <w:rsid w:val="003F3B87"/>
    <w:rsid w:val="003F44BB"/>
    <w:rsid w:val="003F57B3"/>
    <w:rsid w:val="003F6482"/>
    <w:rsid w:val="003F67FF"/>
    <w:rsid w:val="00401438"/>
    <w:rsid w:val="00401A4E"/>
    <w:rsid w:val="00402832"/>
    <w:rsid w:val="00402FE1"/>
    <w:rsid w:val="004032E4"/>
    <w:rsid w:val="004059F2"/>
    <w:rsid w:val="004068F9"/>
    <w:rsid w:val="004069EC"/>
    <w:rsid w:val="00406AC0"/>
    <w:rsid w:val="00406B57"/>
    <w:rsid w:val="0040786F"/>
    <w:rsid w:val="00407A8A"/>
    <w:rsid w:val="00407BDA"/>
    <w:rsid w:val="00407F17"/>
    <w:rsid w:val="00407FEA"/>
    <w:rsid w:val="00410186"/>
    <w:rsid w:val="0041109B"/>
    <w:rsid w:val="004121C3"/>
    <w:rsid w:val="00412DB6"/>
    <w:rsid w:val="0041341B"/>
    <w:rsid w:val="00413E0F"/>
    <w:rsid w:val="00414762"/>
    <w:rsid w:val="00414B2D"/>
    <w:rsid w:val="00414FA4"/>
    <w:rsid w:val="0041513F"/>
    <w:rsid w:val="004153C3"/>
    <w:rsid w:val="00416E07"/>
    <w:rsid w:val="00416FC7"/>
    <w:rsid w:val="00417026"/>
    <w:rsid w:val="00420E1D"/>
    <w:rsid w:val="00421253"/>
    <w:rsid w:val="00421450"/>
    <w:rsid w:val="004223C0"/>
    <w:rsid w:val="00422449"/>
    <w:rsid w:val="004224AA"/>
    <w:rsid w:val="004226D5"/>
    <w:rsid w:val="00422878"/>
    <w:rsid w:val="00423957"/>
    <w:rsid w:val="00423C0D"/>
    <w:rsid w:val="00423D02"/>
    <w:rsid w:val="004246FC"/>
    <w:rsid w:val="004249AE"/>
    <w:rsid w:val="004267A6"/>
    <w:rsid w:val="00426CC9"/>
    <w:rsid w:val="00427143"/>
    <w:rsid w:val="004277D7"/>
    <w:rsid w:val="0043003A"/>
    <w:rsid w:val="00430B17"/>
    <w:rsid w:val="00430B4C"/>
    <w:rsid w:val="00430D3F"/>
    <w:rsid w:val="00431057"/>
    <w:rsid w:val="00431FAC"/>
    <w:rsid w:val="00431FC5"/>
    <w:rsid w:val="00432E7B"/>
    <w:rsid w:val="00434283"/>
    <w:rsid w:val="0043435D"/>
    <w:rsid w:val="004344BC"/>
    <w:rsid w:val="004352D0"/>
    <w:rsid w:val="0043707A"/>
    <w:rsid w:val="0043726C"/>
    <w:rsid w:val="00437422"/>
    <w:rsid w:val="00437D5E"/>
    <w:rsid w:val="004401EA"/>
    <w:rsid w:val="004412BC"/>
    <w:rsid w:val="004432F7"/>
    <w:rsid w:val="00445BD7"/>
    <w:rsid w:val="00445CBE"/>
    <w:rsid w:val="00445E44"/>
    <w:rsid w:val="00446CF4"/>
    <w:rsid w:val="00447952"/>
    <w:rsid w:val="004479A5"/>
    <w:rsid w:val="00447B32"/>
    <w:rsid w:val="00450E26"/>
    <w:rsid w:val="00450F84"/>
    <w:rsid w:val="00451778"/>
    <w:rsid w:val="004534B3"/>
    <w:rsid w:val="004537DA"/>
    <w:rsid w:val="00455880"/>
    <w:rsid w:val="00455B0D"/>
    <w:rsid w:val="00456005"/>
    <w:rsid w:val="00456552"/>
    <w:rsid w:val="00456865"/>
    <w:rsid w:val="0046098C"/>
    <w:rsid w:val="00460E5F"/>
    <w:rsid w:val="0046108C"/>
    <w:rsid w:val="004610E8"/>
    <w:rsid w:val="00462193"/>
    <w:rsid w:val="00462F39"/>
    <w:rsid w:val="00465901"/>
    <w:rsid w:val="004662CE"/>
    <w:rsid w:val="00466327"/>
    <w:rsid w:val="00466336"/>
    <w:rsid w:val="00467347"/>
    <w:rsid w:val="00467709"/>
    <w:rsid w:val="00467F9A"/>
    <w:rsid w:val="004725B4"/>
    <w:rsid w:val="00473A29"/>
    <w:rsid w:val="00473BBA"/>
    <w:rsid w:val="00475F96"/>
    <w:rsid w:val="004775CD"/>
    <w:rsid w:val="00477EA4"/>
    <w:rsid w:val="004801F5"/>
    <w:rsid w:val="00481A78"/>
    <w:rsid w:val="00481A8C"/>
    <w:rsid w:val="00481D55"/>
    <w:rsid w:val="004823A8"/>
    <w:rsid w:val="00484AF8"/>
    <w:rsid w:val="004850A8"/>
    <w:rsid w:val="00486E80"/>
    <w:rsid w:val="00487001"/>
    <w:rsid w:val="004874F4"/>
    <w:rsid w:val="00487F53"/>
    <w:rsid w:val="004910C5"/>
    <w:rsid w:val="00491475"/>
    <w:rsid w:val="00491B2F"/>
    <w:rsid w:val="00492758"/>
    <w:rsid w:val="00492CF5"/>
    <w:rsid w:val="00493C1E"/>
    <w:rsid w:val="00494589"/>
    <w:rsid w:val="004949CD"/>
    <w:rsid w:val="00494A1C"/>
    <w:rsid w:val="00494DC3"/>
    <w:rsid w:val="00495736"/>
    <w:rsid w:val="004958CC"/>
    <w:rsid w:val="004A0E13"/>
    <w:rsid w:val="004A0FC3"/>
    <w:rsid w:val="004A1366"/>
    <w:rsid w:val="004A1EAC"/>
    <w:rsid w:val="004A3922"/>
    <w:rsid w:val="004A4AC4"/>
    <w:rsid w:val="004A6126"/>
    <w:rsid w:val="004A61F2"/>
    <w:rsid w:val="004A7800"/>
    <w:rsid w:val="004B3914"/>
    <w:rsid w:val="004B3A46"/>
    <w:rsid w:val="004B557A"/>
    <w:rsid w:val="004B6DE1"/>
    <w:rsid w:val="004B7836"/>
    <w:rsid w:val="004C0E19"/>
    <w:rsid w:val="004C2605"/>
    <w:rsid w:val="004C327F"/>
    <w:rsid w:val="004C338C"/>
    <w:rsid w:val="004C5F0C"/>
    <w:rsid w:val="004C5F6D"/>
    <w:rsid w:val="004D1AE2"/>
    <w:rsid w:val="004D2F53"/>
    <w:rsid w:val="004D4E4C"/>
    <w:rsid w:val="004D5A4C"/>
    <w:rsid w:val="004D6166"/>
    <w:rsid w:val="004D69E1"/>
    <w:rsid w:val="004E00AD"/>
    <w:rsid w:val="004E168F"/>
    <w:rsid w:val="004E27E7"/>
    <w:rsid w:val="004E2D6A"/>
    <w:rsid w:val="004E3C13"/>
    <w:rsid w:val="004E4977"/>
    <w:rsid w:val="004E4B50"/>
    <w:rsid w:val="004F0260"/>
    <w:rsid w:val="004F0DA1"/>
    <w:rsid w:val="004F1C4C"/>
    <w:rsid w:val="004F1DBC"/>
    <w:rsid w:val="004F3A6B"/>
    <w:rsid w:val="004F3FB0"/>
    <w:rsid w:val="004F41A0"/>
    <w:rsid w:val="004F4766"/>
    <w:rsid w:val="004F54ED"/>
    <w:rsid w:val="004F5638"/>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10424"/>
    <w:rsid w:val="00511654"/>
    <w:rsid w:val="00511FAE"/>
    <w:rsid w:val="005120AF"/>
    <w:rsid w:val="00512BFD"/>
    <w:rsid w:val="005133D4"/>
    <w:rsid w:val="00515D05"/>
    <w:rsid w:val="00515E12"/>
    <w:rsid w:val="00516284"/>
    <w:rsid w:val="00516D6D"/>
    <w:rsid w:val="005170AC"/>
    <w:rsid w:val="00517B60"/>
    <w:rsid w:val="00521A58"/>
    <w:rsid w:val="00522FA1"/>
    <w:rsid w:val="00523081"/>
    <w:rsid w:val="005232B2"/>
    <w:rsid w:val="005244CF"/>
    <w:rsid w:val="00524F6E"/>
    <w:rsid w:val="0052530D"/>
    <w:rsid w:val="0052621E"/>
    <w:rsid w:val="005300CD"/>
    <w:rsid w:val="00530773"/>
    <w:rsid w:val="00530BAC"/>
    <w:rsid w:val="00530DCF"/>
    <w:rsid w:val="00530E67"/>
    <w:rsid w:val="00531EE8"/>
    <w:rsid w:val="005326A1"/>
    <w:rsid w:val="00532DE3"/>
    <w:rsid w:val="00533E74"/>
    <w:rsid w:val="00533ED7"/>
    <w:rsid w:val="005341BC"/>
    <w:rsid w:val="00534645"/>
    <w:rsid w:val="00534C38"/>
    <w:rsid w:val="00534C91"/>
    <w:rsid w:val="00535601"/>
    <w:rsid w:val="00535B01"/>
    <w:rsid w:val="00535D29"/>
    <w:rsid w:val="00536FA1"/>
    <w:rsid w:val="0053790E"/>
    <w:rsid w:val="00537947"/>
    <w:rsid w:val="00537D7C"/>
    <w:rsid w:val="00541568"/>
    <w:rsid w:val="00544162"/>
    <w:rsid w:val="00545627"/>
    <w:rsid w:val="005457D6"/>
    <w:rsid w:val="0054585E"/>
    <w:rsid w:val="00546B3B"/>
    <w:rsid w:val="00547161"/>
    <w:rsid w:val="00547FD1"/>
    <w:rsid w:val="0055088E"/>
    <w:rsid w:val="00552571"/>
    <w:rsid w:val="00552BA7"/>
    <w:rsid w:val="00552DDF"/>
    <w:rsid w:val="00553287"/>
    <w:rsid w:val="00553707"/>
    <w:rsid w:val="005537AF"/>
    <w:rsid w:val="00554482"/>
    <w:rsid w:val="00556915"/>
    <w:rsid w:val="0055709C"/>
    <w:rsid w:val="0055730C"/>
    <w:rsid w:val="00557C8D"/>
    <w:rsid w:val="00560492"/>
    <w:rsid w:val="005617E5"/>
    <w:rsid w:val="0056219A"/>
    <w:rsid w:val="005632BF"/>
    <w:rsid w:val="005641BB"/>
    <w:rsid w:val="0056449B"/>
    <w:rsid w:val="00564B0D"/>
    <w:rsid w:val="00564BB1"/>
    <w:rsid w:val="00565160"/>
    <w:rsid w:val="00567F56"/>
    <w:rsid w:val="0057098A"/>
    <w:rsid w:val="00571844"/>
    <w:rsid w:val="00572538"/>
    <w:rsid w:val="005749F0"/>
    <w:rsid w:val="00574CA4"/>
    <w:rsid w:val="0057588D"/>
    <w:rsid w:val="005776CE"/>
    <w:rsid w:val="00580250"/>
    <w:rsid w:val="005811DE"/>
    <w:rsid w:val="00581AA6"/>
    <w:rsid w:val="0058246B"/>
    <w:rsid w:val="005825F7"/>
    <w:rsid w:val="0058372F"/>
    <w:rsid w:val="00583831"/>
    <w:rsid w:val="005840C4"/>
    <w:rsid w:val="00584949"/>
    <w:rsid w:val="00584963"/>
    <w:rsid w:val="00585632"/>
    <w:rsid w:val="00585B04"/>
    <w:rsid w:val="00587B5C"/>
    <w:rsid w:val="005902A7"/>
    <w:rsid w:val="00590C94"/>
    <w:rsid w:val="005913C0"/>
    <w:rsid w:val="00591449"/>
    <w:rsid w:val="00591F38"/>
    <w:rsid w:val="00592186"/>
    <w:rsid w:val="00593642"/>
    <w:rsid w:val="00596AB7"/>
    <w:rsid w:val="0059716A"/>
    <w:rsid w:val="005974F8"/>
    <w:rsid w:val="005A1B4A"/>
    <w:rsid w:val="005A2B04"/>
    <w:rsid w:val="005A44D3"/>
    <w:rsid w:val="005A4DCE"/>
    <w:rsid w:val="005A4E64"/>
    <w:rsid w:val="005A5BD2"/>
    <w:rsid w:val="005A60AC"/>
    <w:rsid w:val="005A60DC"/>
    <w:rsid w:val="005A6E29"/>
    <w:rsid w:val="005A77EE"/>
    <w:rsid w:val="005B0D3C"/>
    <w:rsid w:val="005B2BD8"/>
    <w:rsid w:val="005B4121"/>
    <w:rsid w:val="005B43A0"/>
    <w:rsid w:val="005B47CF"/>
    <w:rsid w:val="005B49B5"/>
    <w:rsid w:val="005B569A"/>
    <w:rsid w:val="005B5E6C"/>
    <w:rsid w:val="005B65CA"/>
    <w:rsid w:val="005B7EA3"/>
    <w:rsid w:val="005B7F92"/>
    <w:rsid w:val="005C0252"/>
    <w:rsid w:val="005C0EEE"/>
    <w:rsid w:val="005C271B"/>
    <w:rsid w:val="005C2C9A"/>
    <w:rsid w:val="005C325A"/>
    <w:rsid w:val="005C4006"/>
    <w:rsid w:val="005C46CB"/>
    <w:rsid w:val="005C472B"/>
    <w:rsid w:val="005C53CB"/>
    <w:rsid w:val="005C6CEE"/>
    <w:rsid w:val="005C6D9E"/>
    <w:rsid w:val="005C78C1"/>
    <w:rsid w:val="005C7FF8"/>
    <w:rsid w:val="005D0E2E"/>
    <w:rsid w:val="005D1725"/>
    <w:rsid w:val="005D3854"/>
    <w:rsid w:val="005D3C64"/>
    <w:rsid w:val="005D3F7E"/>
    <w:rsid w:val="005D456F"/>
    <w:rsid w:val="005D5B47"/>
    <w:rsid w:val="005D6C91"/>
    <w:rsid w:val="005D72C0"/>
    <w:rsid w:val="005E1F5E"/>
    <w:rsid w:val="005E2C22"/>
    <w:rsid w:val="005E2C70"/>
    <w:rsid w:val="005E2F2B"/>
    <w:rsid w:val="005E493E"/>
    <w:rsid w:val="005E50AB"/>
    <w:rsid w:val="005E5184"/>
    <w:rsid w:val="005E522C"/>
    <w:rsid w:val="005E6BF7"/>
    <w:rsid w:val="005E7812"/>
    <w:rsid w:val="005F015D"/>
    <w:rsid w:val="005F048D"/>
    <w:rsid w:val="005F0D09"/>
    <w:rsid w:val="005F2554"/>
    <w:rsid w:val="005F4680"/>
    <w:rsid w:val="005F4D00"/>
    <w:rsid w:val="005F4F3F"/>
    <w:rsid w:val="005F51CE"/>
    <w:rsid w:val="005F664B"/>
    <w:rsid w:val="005F69B8"/>
    <w:rsid w:val="005F7717"/>
    <w:rsid w:val="00601242"/>
    <w:rsid w:val="006025E5"/>
    <w:rsid w:val="00602D65"/>
    <w:rsid w:val="00602E8F"/>
    <w:rsid w:val="006044E9"/>
    <w:rsid w:val="00604FEE"/>
    <w:rsid w:val="0060520F"/>
    <w:rsid w:val="006067C7"/>
    <w:rsid w:val="0060730C"/>
    <w:rsid w:val="0060799F"/>
    <w:rsid w:val="006119CC"/>
    <w:rsid w:val="0061261C"/>
    <w:rsid w:val="006129DF"/>
    <w:rsid w:val="00612FC9"/>
    <w:rsid w:val="00613A08"/>
    <w:rsid w:val="00613D83"/>
    <w:rsid w:val="0061411F"/>
    <w:rsid w:val="00614777"/>
    <w:rsid w:val="00616E42"/>
    <w:rsid w:val="00616E43"/>
    <w:rsid w:val="006171A7"/>
    <w:rsid w:val="00617D9B"/>
    <w:rsid w:val="00622C2B"/>
    <w:rsid w:val="00622FF5"/>
    <w:rsid w:val="0062332A"/>
    <w:rsid w:val="006253FE"/>
    <w:rsid w:val="00625E07"/>
    <w:rsid w:val="00626538"/>
    <w:rsid w:val="0062715E"/>
    <w:rsid w:val="00630E77"/>
    <w:rsid w:val="0063135A"/>
    <w:rsid w:val="00631DC3"/>
    <w:rsid w:val="006336C2"/>
    <w:rsid w:val="006336EE"/>
    <w:rsid w:val="00635099"/>
    <w:rsid w:val="0063536B"/>
    <w:rsid w:val="00635E62"/>
    <w:rsid w:val="00636998"/>
    <w:rsid w:val="00636E8F"/>
    <w:rsid w:val="0063746B"/>
    <w:rsid w:val="00640358"/>
    <w:rsid w:val="006406D8"/>
    <w:rsid w:val="0064217B"/>
    <w:rsid w:val="00643E41"/>
    <w:rsid w:val="00643F46"/>
    <w:rsid w:val="0064553F"/>
    <w:rsid w:val="00646289"/>
    <w:rsid w:val="00646ED1"/>
    <w:rsid w:val="006505F9"/>
    <w:rsid w:val="00650F79"/>
    <w:rsid w:val="00651485"/>
    <w:rsid w:val="00651701"/>
    <w:rsid w:val="0065210E"/>
    <w:rsid w:val="006525F3"/>
    <w:rsid w:val="0065424F"/>
    <w:rsid w:val="006543D6"/>
    <w:rsid w:val="00654FBC"/>
    <w:rsid w:val="00655057"/>
    <w:rsid w:val="00656182"/>
    <w:rsid w:val="00656EBC"/>
    <w:rsid w:val="00660B7E"/>
    <w:rsid w:val="00661A7C"/>
    <w:rsid w:val="00661E65"/>
    <w:rsid w:val="006635C7"/>
    <w:rsid w:val="006636F1"/>
    <w:rsid w:val="00663EDC"/>
    <w:rsid w:val="0066445A"/>
    <w:rsid w:val="00664738"/>
    <w:rsid w:val="00664BA3"/>
    <w:rsid w:val="0066601D"/>
    <w:rsid w:val="006660C3"/>
    <w:rsid w:val="00666C49"/>
    <w:rsid w:val="006676BB"/>
    <w:rsid w:val="00670CA0"/>
    <w:rsid w:val="00671A55"/>
    <w:rsid w:val="00671A90"/>
    <w:rsid w:val="00672217"/>
    <w:rsid w:val="0067312C"/>
    <w:rsid w:val="00675E67"/>
    <w:rsid w:val="00675F1A"/>
    <w:rsid w:val="00677566"/>
    <w:rsid w:val="00680649"/>
    <w:rsid w:val="00683A7B"/>
    <w:rsid w:val="00684C47"/>
    <w:rsid w:val="0068557E"/>
    <w:rsid w:val="00685A2A"/>
    <w:rsid w:val="00685AAA"/>
    <w:rsid w:val="00685F29"/>
    <w:rsid w:val="00686364"/>
    <w:rsid w:val="0068794A"/>
    <w:rsid w:val="00687E04"/>
    <w:rsid w:val="00690D2D"/>
    <w:rsid w:val="006912D4"/>
    <w:rsid w:val="00692DB5"/>
    <w:rsid w:val="00694890"/>
    <w:rsid w:val="00694A7C"/>
    <w:rsid w:val="006950E0"/>
    <w:rsid w:val="00696BF2"/>
    <w:rsid w:val="006A00C7"/>
    <w:rsid w:val="006A1A84"/>
    <w:rsid w:val="006A3115"/>
    <w:rsid w:val="006A374E"/>
    <w:rsid w:val="006A502E"/>
    <w:rsid w:val="006A5795"/>
    <w:rsid w:val="006A5CCC"/>
    <w:rsid w:val="006A79B8"/>
    <w:rsid w:val="006B0179"/>
    <w:rsid w:val="006B0598"/>
    <w:rsid w:val="006B2A66"/>
    <w:rsid w:val="006B316C"/>
    <w:rsid w:val="006B4E9A"/>
    <w:rsid w:val="006B64F0"/>
    <w:rsid w:val="006B7208"/>
    <w:rsid w:val="006B7227"/>
    <w:rsid w:val="006C0E8E"/>
    <w:rsid w:val="006C2631"/>
    <w:rsid w:val="006C27FD"/>
    <w:rsid w:val="006C35CA"/>
    <w:rsid w:val="006C3E11"/>
    <w:rsid w:val="006C3EFA"/>
    <w:rsid w:val="006C4650"/>
    <w:rsid w:val="006C47CF"/>
    <w:rsid w:val="006C525D"/>
    <w:rsid w:val="006C557B"/>
    <w:rsid w:val="006C5B06"/>
    <w:rsid w:val="006C6A50"/>
    <w:rsid w:val="006D06E3"/>
    <w:rsid w:val="006D2500"/>
    <w:rsid w:val="006D41F9"/>
    <w:rsid w:val="006D530A"/>
    <w:rsid w:val="006D5AF9"/>
    <w:rsid w:val="006D6647"/>
    <w:rsid w:val="006D7BD2"/>
    <w:rsid w:val="006E024C"/>
    <w:rsid w:val="006E0FF3"/>
    <w:rsid w:val="006E1605"/>
    <w:rsid w:val="006E2B4F"/>
    <w:rsid w:val="006E3B28"/>
    <w:rsid w:val="006E4505"/>
    <w:rsid w:val="006E454B"/>
    <w:rsid w:val="006E4B4A"/>
    <w:rsid w:val="006E615F"/>
    <w:rsid w:val="006E616C"/>
    <w:rsid w:val="006E6FF0"/>
    <w:rsid w:val="006E7482"/>
    <w:rsid w:val="006F0242"/>
    <w:rsid w:val="006F169C"/>
    <w:rsid w:val="006F1B31"/>
    <w:rsid w:val="006F2707"/>
    <w:rsid w:val="006F4361"/>
    <w:rsid w:val="006F4BC5"/>
    <w:rsid w:val="006F5703"/>
    <w:rsid w:val="006F6C94"/>
    <w:rsid w:val="006F7FF5"/>
    <w:rsid w:val="00700139"/>
    <w:rsid w:val="007007C2"/>
    <w:rsid w:val="00700A4C"/>
    <w:rsid w:val="00702366"/>
    <w:rsid w:val="00703982"/>
    <w:rsid w:val="007039FB"/>
    <w:rsid w:val="00706101"/>
    <w:rsid w:val="00706472"/>
    <w:rsid w:val="00706536"/>
    <w:rsid w:val="0070797E"/>
    <w:rsid w:val="0071022A"/>
    <w:rsid w:val="00711340"/>
    <w:rsid w:val="007131E4"/>
    <w:rsid w:val="00713AE7"/>
    <w:rsid w:val="00713BD1"/>
    <w:rsid w:val="00714989"/>
    <w:rsid w:val="00714CCC"/>
    <w:rsid w:val="007155BE"/>
    <w:rsid w:val="00715C57"/>
    <w:rsid w:val="00715C70"/>
    <w:rsid w:val="00716957"/>
    <w:rsid w:val="00717CB8"/>
    <w:rsid w:val="00720779"/>
    <w:rsid w:val="00720E78"/>
    <w:rsid w:val="00721283"/>
    <w:rsid w:val="007215A2"/>
    <w:rsid w:val="00722AD8"/>
    <w:rsid w:val="00722DE1"/>
    <w:rsid w:val="00723CA1"/>
    <w:rsid w:val="0072444E"/>
    <w:rsid w:val="00724625"/>
    <w:rsid w:val="00724BE3"/>
    <w:rsid w:val="00724DBD"/>
    <w:rsid w:val="007252BF"/>
    <w:rsid w:val="007258E6"/>
    <w:rsid w:val="00725CD1"/>
    <w:rsid w:val="007260DF"/>
    <w:rsid w:val="00727B71"/>
    <w:rsid w:val="007302BC"/>
    <w:rsid w:val="00731CA1"/>
    <w:rsid w:val="00731D81"/>
    <w:rsid w:val="00732480"/>
    <w:rsid w:val="00732A64"/>
    <w:rsid w:val="00734C2A"/>
    <w:rsid w:val="00734E52"/>
    <w:rsid w:val="007356A8"/>
    <w:rsid w:val="0073591F"/>
    <w:rsid w:val="00735FB7"/>
    <w:rsid w:val="007360F5"/>
    <w:rsid w:val="007365B0"/>
    <w:rsid w:val="00737A0C"/>
    <w:rsid w:val="00740B23"/>
    <w:rsid w:val="007420D2"/>
    <w:rsid w:val="0074287A"/>
    <w:rsid w:val="00742F1B"/>
    <w:rsid w:val="0074337F"/>
    <w:rsid w:val="00743502"/>
    <w:rsid w:val="00744528"/>
    <w:rsid w:val="007452F6"/>
    <w:rsid w:val="007455BE"/>
    <w:rsid w:val="00746253"/>
    <w:rsid w:val="00746BCC"/>
    <w:rsid w:val="007470D0"/>
    <w:rsid w:val="00747488"/>
    <w:rsid w:val="00747F23"/>
    <w:rsid w:val="007510B8"/>
    <w:rsid w:val="00751161"/>
    <w:rsid w:val="00752017"/>
    <w:rsid w:val="0075339E"/>
    <w:rsid w:val="00753519"/>
    <w:rsid w:val="00753E93"/>
    <w:rsid w:val="00754D6E"/>
    <w:rsid w:val="007559F1"/>
    <w:rsid w:val="007566A6"/>
    <w:rsid w:val="0075785E"/>
    <w:rsid w:val="00757CDB"/>
    <w:rsid w:val="007623BC"/>
    <w:rsid w:val="00762733"/>
    <w:rsid w:val="007629CC"/>
    <w:rsid w:val="00763492"/>
    <w:rsid w:val="007634F9"/>
    <w:rsid w:val="00763B4A"/>
    <w:rsid w:val="00764B7F"/>
    <w:rsid w:val="00764BDD"/>
    <w:rsid w:val="007652DE"/>
    <w:rsid w:val="0076555C"/>
    <w:rsid w:val="0076572A"/>
    <w:rsid w:val="0076577E"/>
    <w:rsid w:val="00765812"/>
    <w:rsid w:val="00767BF8"/>
    <w:rsid w:val="00767E93"/>
    <w:rsid w:val="00770025"/>
    <w:rsid w:val="00770BAF"/>
    <w:rsid w:val="007713D1"/>
    <w:rsid w:val="0077300A"/>
    <w:rsid w:val="007743EF"/>
    <w:rsid w:val="0077521F"/>
    <w:rsid w:val="007759AF"/>
    <w:rsid w:val="00775C28"/>
    <w:rsid w:val="007762C7"/>
    <w:rsid w:val="00777A45"/>
    <w:rsid w:val="00777C69"/>
    <w:rsid w:val="0078149B"/>
    <w:rsid w:val="00783C48"/>
    <w:rsid w:val="0078602D"/>
    <w:rsid w:val="007861DF"/>
    <w:rsid w:val="00786FF7"/>
    <w:rsid w:val="0079207A"/>
    <w:rsid w:val="00793293"/>
    <w:rsid w:val="00794CF6"/>
    <w:rsid w:val="00794E7C"/>
    <w:rsid w:val="007951FB"/>
    <w:rsid w:val="00796871"/>
    <w:rsid w:val="00796F4A"/>
    <w:rsid w:val="007A0A80"/>
    <w:rsid w:val="007A0AE3"/>
    <w:rsid w:val="007A0C2D"/>
    <w:rsid w:val="007A1351"/>
    <w:rsid w:val="007A14D1"/>
    <w:rsid w:val="007A14DD"/>
    <w:rsid w:val="007A1AA8"/>
    <w:rsid w:val="007A1FB0"/>
    <w:rsid w:val="007A2152"/>
    <w:rsid w:val="007A3353"/>
    <w:rsid w:val="007A4075"/>
    <w:rsid w:val="007A61D0"/>
    <w:rsid w:val="007A694B"/>
    <w:rsid w:val="007A7028"/>
    <w:rsid w:val="007A74C4"/>
    <w:rsid w:val="007A7EC6"/>
    <w:rsid w:val="007B0187"/>
    <w:rsid w:val="007B02FF"/>
    <w:rsid w:val="007B14C4"/>
    <w:rsid w:val="007B22E2"/>
    <w:rsid w:val="007B2C2B"/>
    <w:rsid w:val="007B3ACC"/>
    <w:rsid w:val="007B3B3B"/>
    <w:rsid w:val="007B4F65"/>
    <w:rsid w:val="007B53AE"/>
    <w:rsid w:val="007B5680"/>
    <w:rsid w:val="007B5C6C"/>
    <w:rsid w:val="007B6675"/>
    <w:rsid w:val="007B7230"/>
    <w:rsid w:val="007B74DF"/>
    <w:rsid w:val="007C01F2"/>
    <w:rsid w:val="007C0EEB"/>
    <w:rsid w:val="007C0F8D"/>
    <w:rsid w:val="007C11E0"/>
    <w:rsid w:val="007C1294"/>
    <w:rsid w:val="007C20C6"/>
    <w:rsid w:val="007C23CF"/>
    <w:rsid w:val="007C240B"/>
    <w:rsid w:val="007C2BC7"/>
    <w:rsid w:val="007C3153"/>
    <w:rsid w:val="007C3C38"/>
    <w:rsid w:val="007C4585"/>
    <w:rsid w:val="007C691A"/>
    <w:rsid w:val="007C70C7"/>
    <w:rsid w:val="007D26A3"/>
    <w:rsid w:val="007D3B10"/>
    <w:rsid w:val="007D44E6"/>
    <w:rsid w:val="007D4B1D"/>
    <w:rsid w:val="007D6483"/>
    <w:rsid w:val="007D6706"/>
    <w:rsid w:val="007D75FC"/>
    <w:rsid w:val="007D7E09"/>
    <w:rsid w:val="007E0085"/>
    <w:rsid w:val="007E124F"/>
    <w:rsid w:val="007E1949"/>
    <w:rsid w:val="007E1971"/>
    <w:rsid w:val="007E2891"/>
    <w:rsid w:val="007E2E6D"/>
    <w:rsid w:val="007E3753"/>
    <w:rsid w:val="007E3B53"/>
    <w:rsid w:val="007E3FFD"/>
    <w:rsid w:val="007E46B1"/>
    <w:rsid w:val="007E538E"/>
    <w:rsid w:val="007E5AD0"/>
    <w:rsid w:val="007E6FB7"/>
    <w:rsid w:val="007E703B"/>
    <w:rsid w:val="007F3E13"/>
    <w:rsid w:val="007F3E6E"/>
    <w:rsid w:val="007F443B"/>
    <w:rsid w:val="007F55AA"/>
    <w:rsid w:val="007F5744"/>
    <w:rsid w:val="007F58FB"/>
    <w:rsid w:val="007F5F30"/>
    <w:rsid w:val="007F66F2"/>
    <w:rsid w:val="007F72B7"/>
    <w:rsid w:val="007F75AA"/>
    <w:rsid w:val="007F7CAF"/>
    <w:rsid w:val="007F7F9A"/>
    <w:rsid w:val="008001D2"/>
    <w:rsid w:val="00801844"/>
    <w:rsid w:val="00801920"/>
    <w:rsid w:val="00801EE1"/>
    <w:rsid w:val="00801F17"/>
    <w:rsid w:val="0080245B"/>
    <w:rsid w:val="00802DBE"/>
    <w:rsid w:val="00802F34"/>
    <w:rsid w:val="008032A0"/>
    <w:rsid w:val="00804DEF"/>
    <w:rsid w:val="00805AAF"/>
    <w:rsid w:val="00805BB3"/>
    <w:rsid w:val="00806379"/>
    <w:rsid w:val="00806492"/>
    <w:rsid w:val="00807036"/>
    <w:rsid w:val="00807BDA"/>
    <w:rsid w:val="00811588"/>
    <w:rsid w:val="00811A82"/>
    <w:rsid w:val="00812005"/>
    <w:rsid w:val="0081348B"/>
    <w:rsid w:val="00813D87"/>
    <w:rsid w:val="00814F56"/>
    <w:rsid w:val="00814F88"/>
    <w:rsid w:val="0081518D"/>
    <w:rsid w:val="0081584E"/>
    <w:rsid w:val="00815F49"/>
    <w:rsid w:val="00817980"/>
    <w:rsid w:val="00817B5B"/>
    <w:rsid w:val="008208E0"/>
    <w:rsid w:val="008230F0"/>
    <w:rsid w:val="0082543B"/>
    <w:rsid w:val="00825D3E"/>
    <w:rsid w:val="00826D8B"/>
    <w:rsid w:val="0083089B"/>
    <w:rsid w:val="00831769"/>
    <w:rsid w:val="00831F89"/>
    <w:rsid w:val="00832583"/>
    <w:rsid w:val="00832B52"/>
    <w:rsid w:val="008344EF"/>
    <w:rsid w:val="0083669E"/>
    <w:rsid w:val="00836A46"/>
    <w:rsid w:val="00837031"/>
    <w:rsid w:val="0083724A"/>
    <w:rsid w:val="0084008D"/>
    <w:rsid w:val="0084100B"/>
    <w:rsid w:val="0084145B"/>
    <w:rsid w:val="008415D9"/>
    <w:rsid w:val="008419A2"/>
    <w:rsid w:val="00843382"/>
    <w:rsid w:val="00843B5A"/>
    <w:rsid w:val="0084424F"/>
    <w:rsid w:val="00844C69"/>
    <w:rsid w:val="00844EAD"/>
    <w:rsid w:val="0084609F"/>
    <w:rsid w:val="008475D3"/>
    <w:rsid w:val="00851617"/>
    <w:rsid w:val="00851846"/>
    <w:rsid w:val="00851A74"/>
    <w:rsid w:val="00851D50"/>
    <w:rsid w:val="008524C9"/>
    <w:rsid w:val="0085343B"/>
    <w:rsid w:val="00853D40"/>
    <w:rsid w:val="008547C5"/>
    <w:rsid w:val="00854E81"/>
    <w:rsid w:val="008556D7"/>
    <w:rsid w:val="00856B8A"/>
    <w:rsid w:val="0085776B"/>
    <w:rsid w:val="00861A11"/>
    <w:rsid w:val="008620EC"/>
    <w:rsid w:val="00862281"/>
    <w:rsid w:val="00862416"/>
    <w:rsid w:val="00862CC3"/>
    <w:rsid w:val="00863453"/>
    <w:rsid w:val="0086464C"/>
    <w:rsid w:val="008700E8"/>
    <w:rsid w:val="00872243"/>
    <w:rsid w:val="008722B8"/>
    <w:rsid w:val="00872945"/>
    <w:rsid w:val="00872BFA"/>
    <w:rsid w:val="00873ABB"/>
    <w:rsid w:val="00873C0A"/>
    <w:rsid w:val="00873E2E"/>
    <w:rsid w:val="0087550C"/>
    <w:rsid w:val="00877AF9"/>
    <w:rsid w:val="00877CA9"/>
    <w:rsid w:val="00880655"/>
    <w:rsid w:val="00880A1B"/>
    <w:rsid w:val="00882141"/>
    <w:rsid w:val="0088279C"/>
    <w:rsid w:val="00882A80"/>
    <w:rsid w:val="00882F0D"/>
    <w:rsid w:val="00885CC2"/>
    <w:rsid w:val="00886DF4"/>
    <w:rsid w:val="0088767B"/>
    <w:rsid w:val="00890E8F"/>
    <w:rsid w:val="0089152F"/>
    <w:rsid w:val="00891604"/>
    <w:rsid w:val="00891A8D"/>
    <w:rsid w:val="008923E8"/>
    <w:rsid w:val="008923EE"/>
    <w:rsid w:val="008932CD"/>
    <w:rsid w:val="008952A9"/>
    <w:rsid w:val="0089594B"/>
    <w:rsid w:val="00896361"/>
    <w:rsid w:val="008964B6"/>
    <w:rsid w:val="008964D6"/>
    <w:rsid w:val="00897B3B"/>
    <w:rsid w:val="008A1247"/>
    <w:rsid w:val="008A1E8B"/>
    <w:rsid w:val="008A20EA"/>
    <w:rsid w:val="008A2170"/>
    <w:rsid w:val="008A3307"/>
    <w:rsid w:val="008A3657"/>
    <w:rsid w:val="008A37DA"/>
    <w:rsid w:val="008A3A17"/>
    <w:rsid w:val="008A495C"/>
    <w:rsid w:val="008A49BF"/>
    <w:rsid w:val="008A4E94"/>
    <w:rsid w:val="008A57A0"/>
    <w:rsid w:val="008A58CB"/>
    <w:rsid w:val="008A5DF3"/>
    <w:rsid w:val="008A6232"/>
    <w:rsid w:val="008A6BE4"/>
    <w:rsid w:val="008A6F4C"/>
    <w:rsid w:val="008A7EF4"/>
    <w:rsid w:val="008B0BAC"/>
    <w:rsid w:val="008B112E"/>
    <w:rsid w:val="008B1655"/>
    <w:rsid w:val="008B206B"/>
    <w:rsid w:val="008B276E"/>
    <w:rsid w:val="008B3EE8"/>
    <w:rsid w:val="008B46E2"/>
    <w:rsid w:val="008B75C8"/>
    <w:rsid w:val="008C1DB4"/>
    <w:rsid w:val="008C3BA2"/>
    <w:rsid w:val="008C3BC5"/>
    <w:rsid w:val="008C4DE5"/>
    <w:rsid w:val="008C5086"/>
    <w:rsid w:val="008C5BEE"/>
    <w:rsid w:val="008C662E"/>
    <w:rsid w:val="008C7FDD"/>
    <w:rsid w:val="008D03E1"/>
    <w:rsid w:val="008D0958"/>
    <w:rsid w:val="008D0A8B"/>
    <w:rsid w:val="008D0FDF"/>
    <w:rsid w:val="008D2A29"/>
    <w:rsid w:val="008D2C0D"/>
    <w:rsid w:val="008D2DBA"/>
    <w:rsid w:val="008D3A1E"/>
    <w:rsid w:val="008D3E9E"/>
    <w:rsid w:val="008D40EB"/>
    <w:rsid w:val="008D4E68"/>
    <w:rsid w:val="008D5A0F"/>
    <w:rsid w:val="008D5E94"/>
    <w:rsid w:val="008D69E8"/>
    <w:rsid w:val="008D703A"/>
    <w:rsid w:val="008D706A"/>
    <w:rsid w:val="008E04E0"/>
    <w:rsid w:val="008E0CDD"/>
    <w:rsid w:val="008E1265"/>
    <w:rsid w:val="008E2402"/>
    <w:rsid w:val="008E28F7"/>
    <w:rsid w:val="008E2A33"/>
    <w:rsid w:val="008E3B56"/>
    <w:rsid w:val="008E4A26"/>
    <w:rsid w:val="008E4AD6"/>
    <w:rsid w:val="008E55E4"/>
    <w:rsid w:val="008E5700"/>
    <w:rsid w:val="008E6B9F"/>
    <w:rsid w:val="008F003D"/>
    <w:rsid w:val="008F00AC"/>
    <w:rsid w:val="008F018C"/>
    <w:rsid w:val="008F1304"/>
    <w:rsid w:val="008F37CD"/>
    <w:rsid w:val="008F5DF4"/>
    <w:rsid w:val="008F6AA2"/>
    <w:rsid w:val="008F6E21"/>
    <w:rsid w:val="008F7334"/>
    <w:rsid w:val="008F7638"/>
    <w:rsid w:val="008F7D0F"/>
    <w:rsid w:val="008F7D83"/>
    <w:rsid w:val="008F7FBF"/>
    <w:rsid w:val="00900868"/>
    <w:rsid w:val="00901E7A"/>
    <w:rsid w:val="0090413C"/>
    <w:rsid w:val="009043D3"/>
    <w:rsid w:val="0090469C"/>
    <w:rsid w:val="009049AF"/>
    <w:rsid w:val="009054E0"/>
    <w:rsid w:val="00907786"/>
    <w:rsid w:val="009078FD"/>
    <w:rsid w:val="00911ADB"/>
    <w:rsid w:val="00912786"/>
    <w:rsid w:val="009137CF"/>
    <w:rsid w:val="00914A29"/>
    <w:rsid w:val="00915AF2"/>
    <w:rsid w:val="0091668C"/>
    <w:rsid w:val="009169B8"/>
    <w:rsid w:val="00917303"/>
    <w:rsid w:val="00917473"/>
    <w:rsid w:val="00917F45"/>
    <w:rsid w:val="0092132D"/>
    <w:rsid w:val="0092241C"/>
    <w:rsid w:val="00924214"/>
    <w:rsid w:val="00924280"/>
    <w:rsid w:val="0092536C"/>
    <w:rsid w:val="00926A94"/>
    <w:rsid w:val="00927D10"/>
    <w:rsid w:val="0093098D"/>
    <w:rsid w:val="00930BCA"/>
    <w:rsid w:val="00931BD8"/>
    <w:rsid w:val="0093306C"/>
    <w:rsid w:val="00933237"/>
    <w:rsid w:val="009352EF"/>
    <w:rsid w:val="00936425"/>
    <w:rsid w:val="0093753C"/>
    <w:rsid w:val="00937E50"/>
    <w:rsid w:val="00937F64"/>
    <w:rsid w:val="00941C30"/>
    <w:rsid w:val="00942477"/>
    <w:rsid w:val="0094289F"/>
    <w:rsid w:val="00943363"/>
    <w:rsid w:val="009437A3"/>
    <w:rsid w:val="00943DD7"/>
    <w:rsid w:val="00945239"/>
    <w:rsid w:val="0094537B"/>
    <w:rsid w:val="0094566B"/>
    <w:rsid w:val="00945AF4"/>
    <w:rsid w:val="009463E0"/>
    <w:rsid w:val="00946973"/>
    <w:rsid w:val="009472F4"/>
    <w:rsid w:val="009475B3"/>
    <w:rsid w:val="00947F11"/>
    <w:rsid w:val="009502D1"/>
    <w:rsid w:val="009502F0"/>
    <w:rsid w:val="009524F5"/>
    <w:rsid w:val="009525BA"/>
    <w:rsid w:val="0095416E"/>
    <w:rsid w:val="00954C24"/>
    <w:rsid w:val="00954F72"/>
    <w:rsid w:val="00955E54"/>
    <w:rsid w:val="00956142"/>
    <w:rsid w:val="009563BD"/>
    <w:rsid w:val="009566F2"/>
    <w:rsid w:val="0096122A"/>
    <w:rsid w:val="00962155"/>
    <w:rsid w:val="00962D67"/>
    <w:rsid w:val="00963F54"/>
    <w:rsid w:val="00964722"/>
    <w:rsid w:val="009647E6"/>
    <w:rsid w:val="009649EF"/>
    <w:rsid w:val="00965132"/>
    <w:rsid w:val="0096544E"/>
    <w:rsid w:val="009658C5"/>
    <w:rsid w:val="009660F8"/>
    <w:rsid w:val="00966B47"/>
    <w:rsid w:val="00966F3A"/>
    <w:rsid w:val="009671C3"/>
    <w:rsid w:val="00967373"/>
    <w:rsid w:val="00967F85"/>
    <w:rsid w:val="00970EE5"/>
    <w:rsid w:val="00971110"/>
    <w:rsid w:val="0097228C"/>
    <w:rsid w:val="0097257F"/>
    <w:rsid w:val="0097353F"/>
    <w:rsid w:val="0097359C"/>
    <w:rsid w:val="00973A48"/>
    <w:rsid w:val="0097473C"/>
    <w:rsid w:val="00974BB5"/>
    <w:rsid w:val="00975808"/>
    <w:rsid w:val="0097583C"/>
    <w:rsid w:val="009778BF"/>
    <w:rsid w:val="00980935"/>
    <w:rsid w:val="00980CC0"/>
    <w:rsid w:val="0098131C"/>
    <w:rsid w:val="009838B8"/>
    <w:rsid w:val="009850D1"/>
    <w:rsid w:val="0098573A"/>
    <w:rsid w:val="009859FA"/>
    <w:rsid w:val="00986ED1"/>
    <w:rsid w:val="00987B5B"/>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1EE9"/>
    <w:rsid w:val="009A2E84"/>
    <w:rsid w:val="009A3B53"/>
    <w:rsid w:val="009A4D40"/>
    <w:rsid w:val="009A661A"/>
    <w:rsid w:val="009A72D6"/>
    <w:rsid w:val="009A7DF6"/>
    <w:rsid w:val="009B1608"/>
    <w:rsid w:val="009B1929"/>
    <w:rsid w:val="009B2E86"/>
    <w:rsid w:val="009B5CF4"/>
    <w:rsid w:val="009B632B"/>
    <w:rsid w:val="009B6791"/>
    <w:rsid w:val="009B6B19"/>
    <w:rsid w:val="009B7769"/>
    <w:rsid w:val="009B77FC"/>
    <w:rsid w:val="009C0C25"/>
    <w:rsid w:val="009C11B5"/>
    <w:rsid w:val="009C1965"/>
    <w:rsid w:val="009C1E1D"/>
    <w:rsid w:val="009C5176"/>
    <w:rsid w:val="009C5D90"/>
    <w:rsid w:val="009C75E7"/>
    <w:rsid w:val="009C7617"/>
    <w:rsid w:val="009C7896"/>
    <w:rsid w:val="009D046B"/>
    <w:rsid w:val="009D0A51"/>
    <w:rsid w:val="009D0A8C"/>
    <w:rsid w:val="009D1F95"/>
    <w:rsid w:val="009D27F4"/>
    <w:rsid w:val="009D2DFC"/>
    <w:rsid w:val="009D33BA"/>
    <w:rsid w:val="009D49BC"/>
    <w:rsid w:val="009D6CB0"/>
    <w:rsid w:val="009D7582"/>
    <w:rsid w:val="009D7E95"/>
    <w:rsid w:val="009E0146"/>
    <w:rsid w:val="009E03FF"/>
    <w:rsid w:val="009E0621"/>
    <w:rsid w:val="009E260B"/>
    <w:rsid w:val="009E2747"/>
    <w:rsid w:val="009E2A4A"/>
    <w:rsid w:val="009E2FD9"/>
    <w:rsid w:val="009E3446"/>
    <w:rsid w:val="009E3848"/>
    <w:rsid w:val="009E448C"/>
    <w:rsid w:val="009E4563"/>
    <w:rsid w:val="009E4ED9"/>
    <w:rsid w:val="009E5409"/>
    <w:rsid w:val="009E610E"/>
    <w:rsid w:val="009E651C"/>
    <w:rsid w:val="009E6EB0"/>
    <w:rsid w:val="009E72BB"/>
    <w:rsid w:val="009F110A"/>
    <w:rsid w:val="009F151D"/>
    <w:rsid w:val="009F1F01"/>
    <w:rsid w:val="009F2E93"/>
    <w:rsid w:val="009F320F"/>
    <w:rsid w:val="009F371F"/>
    <w:rsid w:val="009F38AF"/>
    <w:rsid w:val="009F3D19"/>
    <w:rsid w:val="009F422F"/>
    <w:rsid w:val="009F56DA"/>
    <w:rsid w:val="009F5955"/>
    <w:rsid w:val="009F720F"/>
    <w:rsid w:val="009F793A"/>
    <w:rsid w:val="009F7BBF"/>
    <w:rsid w:val="00A007AC"/>
    <w:rsid w:val="00A00EF0"/>
    <w:rsid w:val="00A03A53"/>
    <w:rsid w:val="00A040B0"/>
    <w:rsid w:val="00A04682"/>
    <w:rsid w:val="00A0494E"/>
    <w:rsid w:val="00A05291"/>
    <w:rsid w:val="00A059C7"/>
    <w:rsid w:val="00A05DF0"/>
    <w:rsid w:val="00A0666C"/>
    <w:rsid w:val="00A07407"/>
    <w:rsid w:val="00A101E4"/>
    <w:rsid w:val="00A108AA"/>
    <w:rsid w:val="00A109F2"/>
    <w:rsid w:val="00A11B4A"/>
    <w:rsid w:val="00A12BB6"/>
    <w:rsid w:val="00A14B4F"/>
    <w:rsid w:val="00A15699"/>
    <w:rsid w:val="00A1622F"/>
    <w:rsid w:val="00A1692D"/>
    <w:rsid w:val="00A16970"/>
    <w:rsid w:val="00A16DF0"/>
    <w:rsid w:val="00A16E62"/>
    <w:rsid w:val="00A17300"/>
    <w:rsid w:val="00A17FDD"/>
    <w:rsid w:val="00A201FA"/>
    <w:rsid w:val="00A21B30"/>
    <w:rsid w:val="00A23F15"/>
    <w:rsid w:val="00A24B52"/>
    <w:rsid w:val="00A25288"/>
    <w:rsid w:val="00A25558"/>
    <w:rsid w:val="00A25A32"/>
    <w:rsid w:val="00A25FBE"/>
    <w:rsid w:val="00A26016"/>
    <w:rsid w:val="00A2688B"/>
    <w:rsid w:val="00A26D8E"/>
    <w:rsid w:val="00A26DF2"/>
    <w:rsid w:val="00A31678"/>
    <w:rsid w:val="00A319AF"/>
    <w:rsid w:val="00A322EF"/>
    <w:rsid w:val="00A3366E"/>
    <w:rsid w:val="00A33DBC"/>
    <w:rsid w:val="00A34250"/>
    <w:rsid w:val="00A362DA"/>
    <w:rsid w:val="00A378E7"/>
    <w:rsid w:val="00A37B31"/>
    <w:rsid w:val="00A415B6"/>
    <w:rsid w:val="00A426A2"/>
    <w:rsid w:val="00A434AF"/>
    <w:rsid w:val="00A4387A"/>
    <w:rsid w:val="00A4493E"/>
    <w:rsid w:val="00A45C80"/>
    <w:rsid w:val="00A4633B"/>
    <w:rsid w:val="00A474A4"/>
    <w:rsid w:val="00A47533"/>
    <w:rsid w:val="00A4783D"/>
    <w:rsid w:val="00A50FD0"/>
    <w:rsid w:val="00A511F3"/>
    <w:rsid w:val="00A5125D"/>
    <w:rsid w:val="00A523BC"/>
    <w:rsid w:val="00A52F76"/>
    <w:rsid w:val="00A543B5"/>
    <w:rsid w:val="00A5467F"/>
    <w:rsid w:val="00A546BA"/>
    <w:rsid w:val="00A54F3A"/>
    <w:rsid w:val="00A54F44"/>
    <w:rsid w:val="00A5735A"/>
    <w:rsid w:val="00A57CE0"/>
    <w:rsid w:val="00A57E18"/>
    <w:rsid w:val="00A60B1F"/>
    <w:rsid w:val="00A60D2B"/>
    <w:rsid w:val="00A61E44"/>
    <w:rsid w:val="00A64B8A"/>
    <w:rsid w:val="00A657C7"/>
    <w:rsid w:val="00A66D80"/>
    <w:rsid w:val="00A67E37"/>
    <w:rsid w:val="00A71933"/>
    <w:rsid w:val="00A7197D"/>
    <w:rsid w:val="00A720AE"/>
    <w:rsid w:val="00A735DF"/>
    <w:rsid w:val="00A735F4"/>
    <w:rsid w:val="00A749D2"/>
    <w:rsid w:val="00A74A4B"/>
    <w:rsid w:val="00A74B7D"/>
    <w:rsid w:val="00A76AA4"/>
    <w:rsid w:val="00A80DE2"/>
    <w:rsid w:val="00A81447"/>
    <w:rsid w:val="00A818FB"/>
    <w:rsid w:val="00A81987"/>
    <w:rsid w:val="00A81C73"/>
    <w:rsid w:val="00A82468"/>
    <w:rsid w:val="00A82539"/>
    <w:rsid w:val="00A82A6E"/>
    <w:rsid w:val="00A845DC"/>
    <w:rsid w:val="00A84DBD"/>
    <w:rsid w:val="00A85A04"/>
    <w:rsid w:val="00A87D79"/>
    <w:rsid w:val="00A87EDD"/>
    <w:rsid w:val="00A900CC"/>
    <w:rsid w:val="00A900D9"/>
    <w:rsid w:val="00A918E6"/>
    <w:rsid w:val="00A91AF9"/>
    <w:rsid w:val="00A922A5"/>
    <w:rsid w:val="00A9296C"/>
    <w:rsid w:val="00A930C0"/>
    <w:rsid w:val="00A95579"/>
    <w:rsid w:val="00A97122"/>
    <w:rsid w:val="00A97255"/>
    <w:rsid w:val="00AA0AF7"/>
    <w:rsid w:val="00AA0D5F"/>
    <w:rsid w:val="00AA10A7"/>
    <w:rsid w:val="00AA172E"/>
    <w:rsid w:val="00AA1A57"/>
    <w:rsid w:val="00AA1EBA"/>
    <w:rsid w:val="00AA27B6"/>
    <w:rsid w:val="00AA2E4C"/>
    <w:rsid w:val="00AA5AE5"/>
    <w:rsid w:val="00AA6553"/>
    <w:rsid w:val="00AA68EC"/>
    <w:rsid w:val="00AA6DA8"/>
    <w:rsid w:val="00AA7D1A"/>
    <w:rsid w:val="00AB10A8"/>
    <w:rsid w:val="00AB1D1C"/>
    <w:rsid w:val="00AB1E4A"/>
    <w:rsid w:val="00AB264A"/>
    <w:rsid w:val="00AB3010"/>
    <w:rsid w:val="00AC215C"/>
    <w:rsid w:val="00AC379B"/>
    <w:rsid w:val="00AC384B"/>
    <w:rsid w:val="00AC3F5F"/>
    <w:rsid w:val="00AC5183"/>
    <w:rsid w:val="00AC69B1"/>
    <w:rsid w:val="00AC6CA4"/>
    <w:rsid w:val="00AC6ED0"/>
    <w:rsid w:val="00AC7385"/>
    <w:rsid w:val="00AC73F8"/>
    <w:rsid w:val="00AC79EC"/>
    <w:rsid w:val="00AC7CD0"/>
    <w:rsid w:val="00AC7F1A"/>
    <w:rsid w:val="00AD179E"/>
    <w:rsid w:val="00AD1EB6"/>
    <w:rsid w:val="00AD411B"/>
    <w:rsid w:val="00AD5491"/>
    <w:rsid w:val="00AD5694"/>
    <w:rsid w:val="00AD5DA9"/>
    <w:rsid w:val="00AD6DB3"/>
    <w:rsid w:val="00AD6E30"/>
    <w:rsid w:val="00AD6EAF"/>
    <w:rsid w:val="00AD758A"/>
    <w:rsid w:val="00AD7E4C"/>
    <w:rsid w:val="00AE0D2E"/>
    <w:rsid w:val="00AE1BCA"/>
    <w:rsid w:val="00AE2166"/>
    <w:rsid w:val="00AE27A8"/>
    <w:rsid w:val="00AE3206"/>
    <w:rsid w:val="00AE36C8"/>
    <w:rsid w:val="00AE380E"/>
    <w:rsid w:val="00AE401A"/>
    <w:rsid w:val="00AE4183"/>
    <w:rsid w:val="00AE44D9"/>
    <w:rsid w:val="00AE4B14"/>
    <w:rsid w:val="00AE5CF8"/>
    <w:rsid w:val="00AE6206"/>
    <w:rsid w:val="00AE73EA"/>
    <w:rsid w:val="00AE7F98"/>
    <w:rsid w:val="00AF0017"/>
    <w:rsid w:val="00AF0073"/>
    <w:rsid w:val="00AF0127"/>
    <w:rsid w:val="00AF1097"/>
    <w:rsid w:val="00AF123B"/>
    <w:rsid w:val="00AF1732"/>
    <w:rsid w:val="00AF1CFF"/>
    <w:rsid w:val="00AF289C"/>
    <w:rsid w:val="00AF311A"/>
    <w:rsid w:val="00AF3787"/>
    <w:rsid w:val="00AF4BCA"/>
    <w:rsid w:val="00AF4C83"/>
    <w:rsid w:val="00B001C1"/>
    <w:rsid w:val="00B00552"/>
    <w:rsid w:val="00B00C27"/>
    <w:rsid w:val="00B01F36"/>
    <w:rsid w:val="00B02051"/>
    <w:rsid w:val="00B02323"/>
    <w:rsid w:val="00B02B0A"/>
    <w:rsid w:val="00B03364"/>
    <w:rsid w:val="00B036D6"/>
    <w:rsid w:val="00B044EA"/>
    <w:rsid w:val="00B048C9"/>
    <w:rsid w:val="00B06EAF"/>
    <w:rsid w:val="00B06F8A"/>
    <w:rsid w:val="00B071FD"/>
    <w:rsid w:val="00B07C17"/>
    <w:rsid w:val="00B07C85"/>
    <w:rsid w:val="00B10D53"/>
    <w:rsid w:val="00B12DC7"/>
    <w:rsid w:val="00B13D6F"/>
    <w:rsid w:val="00B141D9"/>
    <w:rsid w:val="00B142B8"/>
    <w:rsid w:val="00B1454B"/>
    <w:rsid w:val="00B151B9"/>
    <w:rsid w:val="00B1522B"/>
    <w:rsid w:val="00B165F8"/>
    <w:rsid w:val="00B21509"/>
    <w:rsid w:val="00B21EE5"/>
    <w:rsid w:val="00B2296F"/>
    <w:rsid w:val="00B2320A"/>
    <w:rsid w:val="00B237C1"/>
    <w:rsid w:val="00B240A7"/>
    <w:rsid w:val="00B24BBE"/>
    <w:rsid w:val="00B2573D"/>
    <w:rsid w:val="00B25E58"/>
    <w:rsid w:val="00B2680F"/>
    <w:rsid w:val="00B27B6A"/>
    <w:rsid w:val="00B31690"/>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A57"/>
    <w:rsid w:val="00B44F2F"/>
    <w:rsid w:val="00B45124"/>
    <w:rsid w:val="00B45ED9"/>
    <w:rsid w:val="00B464A9"/>
    <w:rsid w:val="00B474B6"/>
    <w:rsid w:val="00B47643"/>
    <w:rsid w:val="00B50510"/>
    <w:rsid w:val="00B518A6"/>
    <w:rsid w:val="00B51B0D"/>
    <w:rsid w:val="00B51F96"/>
    <w:rsid w:val="00B5221A"/>
    <w:rsid w:val="00B5421B"/>
    <w:rsid w:val="00B54B6E"/>
    <w:rsid w:val="00B54FE5"/>
    <w:rsid w:val="00B55BAC"/>
    <w:rsid w:val="00B5613C"/>
    <w:rsid w:val="00B56CD9"/>
    <w:rsid w:val="00B57194"/>
    <w:rsid w:val="00B600B1"/>
    <w:rsid w:val="00B60201"/>
    <w:rsid w:val="00B61BFF"/>
    <w:rsid w:val="00B61C20"/>
    <w:rsid w:val="00B62C50"/>
    <w:rsid w:val="00B630BE"/>
    <w:rsid w:val="00B638FD"/>
    <w:rsid w:val="00B640CF"/>
    <w:rsid w:val="00B65666"/>
    <w:rsid w:val="00B65C07"/>
    <w:rsid w:val="00B66E3F"/>
    <w:rsid w:val="00B700C9"/>
    <w:rsid w:val="00B72671"/>
    <w:rsid w:val="00B72DF0"/>
    <w:rsid w:val="00B73309"/>
    <w:rsid w:val="00B73F5E"/>
    <w:rsid w:val="00B740D5"/>
    <w:rsid w:val="00B7477F"/>
    <w:rsid w:val="00B75096"/>
    <w:rsid w:val="00B75A23"/>
    <w:rsid w:val="00B75DA8"/>
    <w:rsid w:val="00B77286"/>
    <w:rsid w:val="00B8023E"/>
    <w:rsid w:val="00B80CD2"/>
    <w:rsid w:val="00B8255E"/>
    <w:rsid w:val="00B83A26"/>
    <w:rsid w:val="00B84D61"/>
    <w:rsid w:val="00B85800"/>
    <w:rsid w:val="00B873E2"/>
    <w:rsid w:val="00B87625"/>
    <w:rsid w:val="00B87EFA"/>
    <w:rsid w:val="00B902B0"/>
    <w:rsid w:val="00B92A59"/>
    <w:rsid w:val="00B95591"/>
    <w:rsid w:val="00B95E05"/>
    <w:rsid w:val="00BA00AC"/>
    <w:rsid w:val="00BA032A"/>
    <w:rsid w:val="00BA451C"/>
    <w:rsid w:val="00BA4B34"/>
    <w:rsid w:val="00BA52D2"/>
    <w:rsid w:val="00BA5495"/>
    <w:rsid w:val="00BA6645"/>
    <w:rsid w:val="00BB20FC"/>
    <w:rsid w:val="00BB2868"/>
    <w:rsid w:val="00BB488E"/>
    <w:rsid w:val="00BB543F"/>
    <w:rsid w:val="00BB7706"/>
    <w:rsid w:val="00BB7D97"/>
    <w:rsid w:val="00BC01AE"/>
    <w:rsid w:val="00BC0F21"/>
    <w:rsid w:val="00BC109C"/>
    <w:rsid w:val="00BC11C0"/>
    <w:rsid w:val="00BC147A"/>
    <w:rsid w:val="00BC30F0"/>
    <w:rsid w:val="00BC4710"/>
    <w:rsid w:val="00BC5ACE"/>
    <w:rsid w:val="00BC5D00"/>
    <w:rsid w:val="00BD020C"/>
    <w:rsid w:val="00BD0DBD"/>
    <w:rsid w:val="00BD29FC"/>
    <w:rsid w:val="00BD3A77"/>
    <w:rsid w:val="00BD630D"/>
    <w:rsid w:val="00BD6F67"/>
    <w:rsid w:val="00BE01E8"/>
    <w:rsid w:val="00BE11CD"/>
    <w:rsid w:val="00BE1B0B"/>
    <w:rsid w:val="00BE1EC4"/>
    <w:rsid w:val="00BE214A"/>
    <w:rsid w:val="00BE2484"/>
    <w:rsid w:val="00BE312C"/>
    <w:rsid w:val="00BE4CEA"/>
    <w:rsid w:val="00BE4E79"/>
    <w:rsid w:val="00BE6010"/>
    <w:rsid w:val="00BE69EE"/>
    <w:rsid w:val="00BE6BB8"/>
    <w:rsid w:val="00BE7832"/>
    <w:rsid w:val="00BE7AB5"/>
    <w:rsid w:val="00BE7FD8"/>
    <w:rsid w:val="00BF14CF"/>
    <w:rsid w:val="00BF167D"/>
    <w:rsid w:val="00BF243D"/>
    <w:rsid w:val="00BF40E9"/>
    <w:rsid w:val="00BF4C79"/>
    <w:rsid w:val="00BF545F"/>
    <w:rsid w:val="00BF550E"/>
    <w:rsid w:val="00BF5EDE"/>
    <w:rsid w:val="00BF6DD9"/>
    <w:rsid w:val="00BF7107"/>
    <w:rsid w:val="00BF7226"/>
    <w:rsid w:val="00BF78FC"/>
    <w:rsid w:val="00BF7A6B"/>
    <w:rsid w:val="00BF7AC5"/>
    <w:rsid w:val="00C01D37"/>
    <w:rsid w:val="00C0205C"/>
    <w:rsid w:val="00C024AD"/>
    <w:rsid w:val="00C02583"/>
    <w:rsid w:val="00C029C4"/>
    <w:rsid w:val="00C031F3"/>
    <w:rsid w:val="00C038BD"/>
    <w:rsid w:val="00C03C52"/>
    <w:rsid w:val="00C04A6C"/>
    <w:rsid w:val="00C04BFE"/>
    <w:rsid w:val="00C04FD5"/>
    <w:rsid w:val="00C05507"/>
    <w:rsid w:val="00C05511"/>
    <w:rsid w:val="00C0663C"/>
    <w:rsid w:val="00C07CA6"/>
    <w:rsid w:val="00C10525"/>
    <w:rsid w:val="00C10ED5"/>
    <w:rsid w:val="00C11467"/>
    <w:rsid w:val="00C114ED"/>
    <w:rsid w:val="00C11EBF"/>
    <w:rsid w:val="00C150D0"/>
    <w:rsid w:val="00C15484"/>
    <w:rsid w:val="00C15DD6"/>
    <w:rsid w:val="00C162AC"/>
    <w:rsid w:val="00C1667A"/>
    <w:rsid w:val="00C17C8A"/>
    <w:rsid w:val="00C20E59"/>
    <w:rsid w:val="00C21BE8"/>
    <w:rsid w:val="00C240C4"/>
    <w:rsid w:val="00C2446A"/>
    <w:rsid w:val="00C248AB"/>
    <w:rsid w:val="00C254BC"/>
    <w:rsid w:val="00C255D8"/>
    <w:rsid w:val="00C25C9F"/>
    <w:rsid w:val="00C25D04"/>
    <w:rsid w:val="00C26631"/>
    <w:rsid w:val="00C26BA2"/>
    <w:rsid w:val="00C27E0C"/>
    <w:rsid w:val="00C30CA1"/>
    <w:rsid w:val="00C30DC4"/>
    <w:rsid w:val="00C319A2"/>
    <w:rsid w:val="00C32840"/>
    <w:rsid w:val="00C32B2F"/>
    <w:rsid w:val="00C34838"/>
    <w:rsid w:val="00C34F99"/>
    <w:rsid w:val="00C35ABC"/>
    <w:rsid w:val="00C37375"/>
    <w:rsid w:val="00C37903"/>
    <w:rsid w:val="00C41E00"/>
    <w:rsid w:val="00C41EAB"/>
    <w:rsid w:val="00C43A40"/>
    <w:rsid w:val="00C4425D"/>
    <w:rsid w:val="00C44667"/>
    <w:rsid w:val="00C457CD"/>
    <w:rsid w:val="00C46525"/>
    <w:rsid w:val="00C469E3"/>
    <w:rsid w:val="00C46F87"/>
    <w:rsid w:val="00C47109"/>
    <w:rsid w:val="00C47E7B"/>
    <w:rsid w:val="00C518BF"/>
    <w:rsid w:val="00C51D50"/>
    <w:rsid w:val="00C5236B"/>
    <w:rsid w:val="00C52B35"/>
    <w:rsid w:val="00C52CB4"/>
    <w:rsid w:val="00C52CC0"/>
    <w:rsid w:val="00C533E6"/>
    <w:rsid w:val="00C53CD4"/>
    <w:rsid w:val="00C544FF"/>
    <w:rsid w:val="00C54B5E"/>
    <w:rsid w:val="00C551CD"/>
    <w:rsid w:val="00C55743"/>
    <w:rsid w:val="00C55C86"/>
    <w:rsid w:val="00C5604D"/>
    <w:rsid w:val="00C564D1"/>
    <w:rsid w:val="00C564E6"/>
    <w:rsid w:val="00C566FF"/>
    <w:rsid w:val="00C567B0"/>
    <w:rsid w:val="00C603CF"/>
    <w:rsid w:val="00C61A49"/>
    <w:rsid w:val="00C62256"/>
    <w:rsid w:val="00C64207"/>
    <w:rsid w:val="00C64E1A"/>
    <w:rsid w:val="00C66610"/>
    <w:rsid w:val="00C66D7D"/>
    <w:rsid w:val="00C66E7E"/>
    <w:rsid w:val="00C67283"/>
    <w:rsid w:val="00C70C35"/>
    <w:rsid w:val="00C73856"/>
    <w:rsid w:val="00C73DDF"/>
    <w:rsid w:val="00C742FB"/>
    <w:rsid w:val="00C745F6"/>
    <w:rsid w:val="00C75D4E"/>
    <w:rsid w:val="00C75E4E"/>
    <w:rsid w:val="00C7666B"/>
    <w:rsid w:val="00C76AC1"/>
    <w:rsid w:val="00C800E8"/>
    <w:rsid w:val="00C80B2A"/>
    <w:rsid w:val="00C81B6E"/>
    <w:rsid w:val="00C81E07"/>
    <w:rsid w:val="00C831B6"/>
    <w:rsid w:val="00C84239"/>
    <w:rsid w:val="00C843AC"/>
    <w:rsid w:val="00C84E74"/>
    <w:rsid w:val="00C85BDC"/>
    <w:rsid w:val="00C871D4"/>
    <w:rsid w:val="00C87694"/>
    <w:rsid w:val="00C87E68"/>
    <w:rsid w:val="00C907C7"/>
    <w:rsid w:val="00C90ED1"/>
    <w:rsid w:val="00C9106F"/>
    <w:rsid w:val="00C9190C"/>
    <w:rsid w:val="00C928EE"/>
    <w:rsid w:val="00C9292C"/>
    <w:rsid w:val="00C93D08"/>
    <w:rsid w:val="00C93DF5"/>
    <w:rsid w:val="00C94C6D"/>
    <w:rsid w:val="00C95B9D"/>
    <w:rsid w:val="00C96852"/>
    <w:rsid w:val="00C969BD"/>
    <w:rsid w:val="00C974CD"/>
    <w:rsid w:val="00C97A3F"/>
    <w:rsid w:val="00CA004B"/>
    <w:rsid w:val="00CA0ECD"/>
    <w:rsid w:val="00CA1083"/>
    <w:rsid w:val="00CA17F3"/>
    <w:rsid w:val="00CA207B"/>
    <w:rsid w:val="00CA25E3"/>
    <w:rsid w:val="00CA3F3E"/>
    <w:rsid w:val="00CA4599"/>
    <w:rsid w:val="00CA5234"/>
    <w:rsid w:val="00CA576B"/>
    <w:rsid w:val="00CA7199"/>
    <w:rsid w:val="00CB0923"/>
    <w:rsid w:val="00CB16F5"/>
    <w:rsid w:val="00CB4333"/>
    <w:rsid w:val="00CB6708"/>
    <w:rsid w:val="00CB68FC"/>
    <w:rsid w:val="00CB772E"/>
    <w:rsid w:val="00CB7E28"/>
    <w:rsid w:val="00CC16C5"/>
    <w:rsid w:val="00CC1DFA"/>
    <w:rsid w:val="00CC2016"/>
    <w:rsid w:val="00CC266C"/>
    <w:rsid w:val="00CC2D72"/>
    <w:rsid w:val="00CC3045"/>
    <w:rsid w:val="00CC3536"/>
    <w:rsid w:val="00CC49A2"/>
    <w:rsid w:val="00CC5AA8"/>
    <w:rsid w:val="00CC611F"/>
    <w:rsid w:val="00CC6170"/>
    <w:rsid w:val="00CC66D9"/>
    <w:rsid w:val="00CC7C15"/>
    <w:rsid w:val="00CC7E7D"/>
    <w:rsid w:val="00CD04DA"/>
    <w:rsid w:val="00CD08BD"/>
    <w:rsid w:val="00CD0EEB"/>
    <w:rsid w:val="00CD334F"/>
    <w:rsid w:val="00CD35E2"/>
    <w:rsid w:val="00CD3783"/>
    <w:rsid w:val="00CD4117"/>
    <w:rsid w:val="00CD499B"/>
    <w:rsid w:val="00CD6150"/>
    <w:rsid w:val="00CD693B"/>
    <w:rsid w:val="00CD7471"/>
    <w:rsid w:val="00CD78CD"/>
    <w:rsid w:val="00CE0752"/>
    <w:rsid w:val="00CE2C3B"/>
    <w:rsid w:val="00CE345A"/>
    <w:rsid w:val="00CE3BCB"/>
    <w:rsid w:val="00CE3E29"/>
    <w:rsid w:val="00CE413A"/>
    <w:rsid w:val="00CE4E6A"/>
    <w:rsid w:val="00CE55E6"/>
    <w:rsid w:val="00CE646B"/>
    <w:rsid w:val="00CE7DA9"/>
    <w:rsid w:val="00CF2A0C"/>
    <w:rsid w:val="00CF38DB"/>
    <w:rsid w:val="00CF3924"/>
    <w:rsid w:val="00CF3B36"/>
    <w:rsid w:val="00CF3E1A"/>
    <w:rsid w:val="00CF5651"/>
    <w:rsid w:val="00CF6430"/>
    <w:rsid w:val="00CF6CB2"/>
    <w:rsid w:val="00D001C9"/>
    <w:rsid w:val="00D00BA5"/>
    <w:rsid w:val="00D0194F"/>
    <w:rsid w:val="00D01AEE"/>
    <w:rsid w:val="00D03B4D"/>
    <w:rsid w:val="00D0429F"/>
    <w:rsid w:val="00D048DB"/>
    <w:rsid w:val="00D06C38"/>
    <w:rsid w:val="00D0720F"/>
    <w:rsid w:val="00D07B76"/>
    <w:rsid w:val="00D104D6"/>
    <w:rsid w:val="00D11939"/>
    <w:rsid w:val="00D11A3B"/>
    <w:rsid w:val="00D128F7"/>
    <w:rsid w:val="00D135E4"/>
    <w:rsid w:val="00D139EC"/>
    <w:rsid w:val="00D1405D"/>
    <w:rsid w:val="00D142F0"/>
    <w:rsid w:val="00D16093"/>
    <w:rsid w:val="00D16AC6"/>
    <w:rsid w:val="00D20212"/>
    <w:rsid w:val="00D20CF0"/>
    <w:rsid w:val="00D21489"/>
    <w:rsid w:val="00D219DD"/>
    <w:rsid w:val="00D21FA5"/>
    <w:rsid w:val="00D225EC"/>
    <w:rsid w:val="00D235B3"/>
    <w:rsid w:val="00D24265"/>
    <w:rsid w:val="00D24E51"/>
    <w:rsid w:val="00D24F7D"/>
    <w:rsid w:val="00D259C1"/>
    <w:rsid w:val="00D26C74"/>
    <w:rsid w:val="00D279A3"/>
    <w:rsid w:val="00D27B95"/>
    <w:rsid w:val="00D27F74"/>
    <w:rsid w:val="00D32ABD"/>
    <w:rsid w:val="00D331E0"/>
    <w:rsid w:val="00D346E1"/>
    <w:rsid w:val="00D34CD6"/>
    <w:rsid w:val="00D353F6"/>
    <w:rsid w:val="00D356B5"/>
    <w:rsid w:val="00D356F2"/>
    <w:rsid w:val="00D35D61"/>
    <w:rsid w:val="00D37FBA"/>
    <w:rsid w:val="00D4032D"/>
    <w:rsid w:val="00D414E2"/>
    <w:rsid w:val="00D4227C"/>
    <w:rsid w:val="00D42D92"/>
    <w:rsid w:val="00D434D2"/>
    <w:rsid w:val="00D43C01"/>
    <w:rsid w:val="00D455F3"/>
    <w:rsid w:val="00D458A3"/>
    <w:rsid w:val="00D46C0D"/>
    <w:rsid w:val="00D46F2F"/>
    <w:rsid w:val="00D50225"/>
    <w:rsid w:val="00D50558"/>
    <w:rsid w:val="00D5092B"/>
    <w:rsid w:val="00D50FEE"/>
    <w:rsid w:val="00D5331E"/>
    <w:rsid w:val="00D537E7"/>
    <w:rsid w:val="00D55456"/>
    <w:rsid w:val="00D57819"/>
    <w:rsid w:val="00D6013A"/>
    <w:rsid w:val="00D60D24"/>
    <w:rsid w:val="00D60EBA"/>
    <w:rsid w:val="00D61650"/>
    <w:rsid w:val="00D618FE"/>
    <w:rsid w:val="00D6205C"/>
    <w:rsid w:val="00D62718"/>
    <w:rsid w:val="00D62BF1"/>
    <w:rsid w:val="00D63048"/>
    <w:rsid w:val="00D65850"/>
    <w:rsid w:val="00D65DE0"/>
    <w:rsid w:val="00D70B34"/>
    <w:rsid w:val="00D718CD"/>
    <w:rsid w:val="00D71C1B"/>
    <w:rsid w:val="00D71DDE"/>
    <w:rsid w:val="00D725FD"/>
    <w:rsid w:val="00D7398B"/>
    <w:rsid w:val="00D73CA6"/>
    <w:rsid w:val="00D73D55"/>
    <w:rsid w:val="00D74E77"/>
    <w:rsid w:val="00D75AFC"/>
    <w:rsid w:val="00D75F1C"/>
    <w:rsid w:val="00D80254"/>
    <w:rsid w:val="00D805F0"/>
    <w:rsid w:val="00D80936"/>
    <w:rsid w:val="00D84690"/>
    <w:rsid w:val="00D84AD5"/>
    <w:rsid w:val="00D8564C"/>
    <w:rsid w:val="00D85BEF"/>
    <w:rsid w:val="00D90826"/>
    <w:rsid w:val="00D92AA4"/>
    <w:rsid w:val="00D92BEA"/>
    <w:rsid w:val="00D92CA1"/>
    <w:rsid w:val="00D932EA"/>
    <w:rsid w:val="00D9398F"/>
    <w:rsid w:val="00D9464F"/>
    <w:rsid w:val="00D949FB"/>
    <w:rsid w:val="00D94AA5"/>
    <w:rsid w:val="00D94D90"/>
    <w:rsid w:val="00D94E84"/>
    <w:rsid w:val="00D95AD8"/>
    <w:rsid w:val="00D9646E"/>
    <w:rsid w:val="00D9650F"/>
    <w:rsid w:val="00D96534"/>
    <w:rsid w:val="00D96BB1"/>
    <w:rsid w:val="00D96E22"/>
    <w:rsid w:val="00D9726C"/>
    <w:rsid w:val="00DA0225"/>
    <w:rsid w:val="00DA08EA"/>
    <w:rsid w:val="00DA0E25"/>
    <w:rsid w:val="00DA1122"/>
    <w:rsid w:val="00DA1FDA"/>
    <w:rsid w:val="00DA2225"/>
    <w:rsid w:val="00DA2568"/>
    <w:rsid w:val="00DA27CC"/>
    <w:rsid w:val="00DA2F9E"/>
    <w:rsid w:val="00DA3F93"/>
    <w:rsid w:val="00DA4B8D"/>
    <w:rsid w:val="00DA4E7B"/>
    <w:rsid w:val="00DA585A"/>
    <w:rsid w:val="00DA5C3C"/>
    <w:rsid w:val="00DA5E6C"/>
    <w:rsid w:val="00DA6609"/>
    <w:rsid w:val="00DA6BBB"/>
    <w:rsid w:val="00DA6DC7"/>
    <w:rsid w:val="00DB010A"/>
    <w:rsid w:val="00DB141A"/>
    <w:rsid w:val="00DB142C"/>
    <w:rsid w:val="00DB1C17"/>
    <w:rsid w:val="00DB28D7"/>
    <w:rsid w:val="00DB367C"/>
    <w:rsid w:val="00DB3D35"/>
    <w:rsid w:val="00DB4467"/>
    <w:rsid w:val="00DB459A"/>
    <w:rsid w:val="00DB45B0"/>
    <w:rsid w:val="00DB4C58"/>
    <w:rsid w:val="00DB5247"/>
    <w:rsid w:val="00DB56B1"/>
    <w:rsid w:val="00DB5E30"/>
    <w:rsid w:val="00DB689A"/>
    <w:rsid w:val="00DC1662"/>
    <w:rsid w:val="00DC1AF3"/>
    <w:rsid w:val="00DC1F40"/>
    <w:rsid w:val="00DC239D"/>
    <w:rsid w:val="00DC4270"/>
    <w:rsid w:val="00DC433E"/>
    <w:rsid w:val="00DC52E0"/>
    <w:rsid w:val="00DC6290"/>
    <w:rsid w:val="00DC6411"/>
    <w:rsid w:val="00DC6915"/>
    <w:rsid w:val="00DC79DF"/>
    <w:rsid w:val="00DC7B31"/>
    <w:rsid w:val="00DD0860"/>
    <w:rsid w:val="00DD0B7F"/>
    <w:rsid w:val="00DD2223"/>
    <w:rsid w:val="00DD2ADA"/>
    <w:rsid w:val="00DD3021"/>
    <w:rsid w:val="00DD3ABE"/>
    <w:rsid w:val="00DD3AC5"/>
    <w:rsid w:val="00DD4505"/>
    <w:rsid w:val="00DD50D4"/>
    <w:rsid w:val="00DD62DD"/>
    <w:rsid w:val="00DD7407"/>
    <w:rsid w:val="00DE0934"/>
    <w:rsid w:val="00DE0A55"/>
    <w:rsid w:val="00DE16B2"/>
    <w:rsid w:val="00DE35AB"/>
    <w:rsid w:val="00DE3805"/>
    <w:rsid w:val="00DE501A"/>
    <w:rsid w:val="00DE6082"/>
    <w:rsid w:val="00DE61EA"/>
    <w:rsid w:val="00DE6DEE"/>
    <w:rsid w:val="00DE713F"/>
    <w:rsid w:val="00DE7384"/>
    <w:rsid w:val="00DE74E8"/>
    <w:rsid w:val="00DE7549"/>
    <w:rsid w:val="00DF2100"/>
    <w:rsid w:val="00DF2A07"/>
    <w:rsid w:val="00DF436E"/>
    <w:rsid w:val="00DF48C6"/>
    <w:rsid w:val="00DF4A31"/>
    <w:rsid w:val="00DF546B"/>
    <w:rsid w:val="00DF582C"/>
    <w:rsid w:val="00DF5A1C"/>
    <w:rsid w:val="00DF5A67"/>
    <w:rsid w:val="00DF677B"/>
    <w:rsid w:val="00E0082D"/>
    <w:rsid w:val="00E02377"/>
    <w:rsid w:val="00E023EA"/>
    <w:rsid w:val="00E04A61"/>
    <w:rsid w:val="00E04CBF"/>
    <w:rsid w:val="00E05786"/>
    <w:rsid w:val="00E06BA3"/>
    <w:rsid w:val="00E06F3C"/>
    <w:rsid w:val="00E0774C"/>
    <w:rsid w:val="00E07BFC"/>
    <w:rsid w:val="00E11D3B"/>
    <w:rsid w:val="00E12084"/>
    <w:rsid w:val="00E12B0D"/>
    <w:rsid w:val="00E12BE8"/>
    <w:rsid w:val="00E1377B"/>
    <w:rsid w:val="00E13D43"/>
    <w:rsid w:val="00E14DF4"/>
    <w:rsid w:val="00E203E1"/>
    <w:rsid w:val="00E207C3"/>
    <w:rsid w:val="00E20837"/>
    <w:rsid w:val="00E21D42"/>
    <w:rsid w:val="00E22689"/>
    <w:rsid w:val="00E22736"/>
    <w:rsid w:val="00E22F3B"/>
    <w:rsid w:val="00E23227"/>
    <w:rsid w:val="00E23DD9"/>
    <w:rsid w:val="00E24772"/>
    <w:rsid w:val="00E272C6"/>
    <w:rsid w:val="00E27AE1"/>
    <w:rsid w:val="00E301D7"/>
    <w:rsid w:val="00E3035F"/>
    <w:rsid w:val="00E30E9D"/>
    <w:rsid w:val="00E31FEE"/>
    <w:rsid w:val="00E3265A"/>
    <w:rsid w:val="00E33439"/>
    <w:rsid w:val="00E33D59"/>
    <w:rsid w:val="00E34E66"/>
    <w:rsid w:val="00E36AEA"/>
    <w:rsid w:val="00E36C09"/>
    <w:rsid w:val="00E3743B"/>
    <w:rsid w:val="00E417AB"/>
    <w:rsid w:val="00E447DE"/>
    <w:rsid w:val="00E44FDE"/>
    <w:rsid w:val="00E45F0D"/>
    <w:rsid w:val="00E45F39"/>
    <w:rsid w:val="00E467D8"/>
    <w:rsid w:val="00E46A58"/>
    <w:rsid w:val="00E47992"/>
    <w:rsid w:val="00E50E66"/>
    <w:rsid w:val="00E513D4"/>
    <w:rsid w:val="00E5140A"/>
    <w:rsid w:val="00E523F7"/>
    <w:rsid w:val="00E53283"/>
    <w:rsid w:val="00E5374C"/>
    <w:rsid w:val="00E53C25"/>
    <w:rsid w:val="00E54574"/>
    <w:rsid w:val="00E54DDF"/>
    <w:rsid w:val="00E55193"/>
    <w:rsid w:val="00E55260"/>
    <w:rsid w:val="00E5565E"/>
    <w:rsid w:val="00E570A5"/>
    <w:rsid w:val="00E571E8"/>
    <w:rsid w:val="00E573CB"/>
    <w:rsid w:val="00E574DF"/>
    <w:rsid w:val="00E575B1"/>
    <w:rsid w:val="00E60CD3"/>
    <w:rsid w:val="00E61151"/>
    <w:rsid w:val="00E63516"/>
    <w:rsid w:val="00E63FD6"/>
    <w:rsid w:val="00E6401C"/>
    <w:rsid w:val="00E64234"/>
    <w:rsid w:val="00E6423D"/>
    <w:rsid w:val="00E65395"/>
    <w:rsid w:val="00E664F4"/>
    <w:rsid w:val="00E66C0F"/>
    <w:rsid w:val="00E70630"/>
    <w:rsid w:val="00E717DE"/>
    <w:rsid w:val="00E71E27"/>
    <w:rsid w:val="00E726F6"/>
    <w:rsid w:val="00E74570"/>
    <w:rsid w:val="00E74913"/>
    <w:rsid w:val="00E75E0A"/>
    <w:rsid w:val="00E76964"/>
    <w:rsid w:val="00E77C9D"/>
    <w:rsid w:val="00E8020D"/>
    <w:rsid w:val="00E80D19"/>
    <w:rsid w:val="00E81614"/>
    <w:rsid w:val="00E81A23"/>
    <w:rsid w:val="00E824AC"/>
    <w:rsid w:val="00E82E0A"/>
    <w:rsid w:val="00E83206"/>
    <w:rsid w:val="00E83465"/>
    <w:rsid w:val="00E84024"/>
    <w:rsid w:val="00E84919"/>
    <w:rsid w:val="00E85176"/>
    <w:rsid w:val="00E85648"/>
    <w:rsid w:val="00E86576"/>
    <w:rsid w:val="00E87BAA"/>
    <w:rsid w:val="00E9147B"/>
    <w:rsid w:val="00E92C97"/>
    <w:rsid w:val="00E93093"/>
    <w:rsid w:val="00E95812"/>
    <w:rsid w:val="00E95A59"/>
    <w:rsid w:val="00E9665E"/>
    <w:rsid w:val="00E97BDD"/>
    <w:rsid w:val="00EA1034"/>
    <w:rsid w:val="00EA18C4"/>
    <w:rsid w:val="00EA2A0C"/>
    <w:rsid w:val="00EA2B89"/>
    <w:rsid w:val="00EA453F"/>
    <w:rsid w:val="00EA45BC"/>
    <w:rsid w:val="00EA4DF6"/>
    <w:rsid w:val="00EA55F9"/>
    <w:rsid w:val="00EA5C35"/>
    <w:rsid w:val="00EA6035"/>
    <w:rsid w:val="00EA633E"/>
    <w:rsid w:val="00EA7EB9"/>
    <w:rsid w:val="00EB062A"/>
    <w:rsid w:val="00EB0646"/>
    <w:rsid w:val="00EB10BE"/>
    <w:rsid w:val="00EB142C"/>
    <w:rsid w:val="00EB1935"/>
    <w:rsid w:val="00EB2471"/>
    <w:rsid w:val="00EB250B"/>
    <w:rsid w:val="00EB2EAD"/>
    <w:rsid w:val="00EB2F69"/>
    <w:rsid w:val="00EB5192"/>
    <w:rsid w:val="00EB5803"/>
    <w:rsid w:val="00EB59C6"/>
    <w:rsid w:val="00EC0208"/>
    <w:rsid w:val="00EC0444"/>
    <w:rsid w:val="00EC517A"/>
    <w:rsid w:val="00EC53A6"/>
    <w:rsid w:val="00EC5855"/>
    <w:rsid w:val="00EC590F"/>
    <w:rsid w:val="00EC5BD3"/>
    <w:rsid w:val="00EC67BA"/>
    <w:rsid w:val="00EC73D5"/>
    <w:rsid w:val="00EC7993"/>
    <w:rsid w:val="00EC7E23"/>
    <w:rsid w:val="00EC7F13"/>
    <w:rsid w:val="00ED38E8"/>
    <w:rsid w:val="00ED3D1B"/>
    <w:rsid w:val="00ED3D74"/>
    <w:rsid w:val="00ED44E9"/>
    <w:rsid w:val="00ED6584"/>
    <w:rsid w:val="00ED65F8"/>
    <w:rsid w:val="00ED73FC"/>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EB4"/>
    <w:rsid w:val="00EE514D"/>
    <w:rsid w:val="00EE53F9"/>
    <w:rsid w:val="00EE6065"/>
    <w:rsid w:val="00EE62D3"/>
    <w:rsid w:val="00EE737C"/>
    <w:rsid w:val="00EF030C"/>
    <w:rsid w:val="00EF32CA"/>
    <w:rsid w:val="00EF7507"/>
    <w:rsid w:val="00EF7DD3"/>
    <w:rsid w:val="00F00285"/>
    <w:rsid w:val="00F0269B"/>
    <w:rsid w:val="00F02907"/>
    <w:rsid w:val="00F04115"/>
    <w:rsid w:val="00F0411B"/>
    <w:rsid w:val="00F0426C"/>
    <w:rsid w:val="00F04AE0"/>
    <w:rsid w:val="00F04B55"/>
    <w:rsid w:val="00F058B4"/>
    <w:rsid w:val="00F0660F"/>
    <w:rsid w:val="00F06BEC"/>
    <w:rsid w:val="00F06DF9"/>
    <w:rsid w:val="00F1004C"/>
    <w:rsid w:val="00F101D0"/>
    <w:rsid w:val="00F11927"/>
    <w:rsid w:val="00F1206A"/>
    <w:rsid w:val="00F1234C"/>
    <w:rsid w:val="00F12D6A"/>
    <w:rsid w:val="00F1486F"/>
    <w:rsid w:val="00F14B55"/>
    <w:rsid w:val="00F151F9"/>
    <w:rsid w:val="00F153E0"/>
    <w:rsid w:val="00F15909"/>
    <w:rsid w:val="00F15CD3"/>
    <w:rsid w:val="00F1722D"/>
    <w:rsid w:val="00F1738E"/>
    <w:rsid w:val="00F177EE"/>
    <w:rsid w:val="00F17F7B"/>
    <w:rsid w:val="00F206F7"/>
    <w:rsid w:val="00F20E89"/>
    <w:rsid w:val="00F21664"/>
    <w:rsid w:val="00F21815"/>
    <w:rsid w:val="00F21C36"/>
    <w:rsid w:val="00F2223C"/>
    <w:rsid w:val="00F237FF"/>
    <w:rsid w:val="00F2416F"/>
    <w:rsid w:val="00F25B43"/>
    <w:rsid w:val="00F25E2A"/>
    <w:rsid w:val="00F271E7"/>
    <w:rsid w:val="00F27638"/>
    <w:rsid w:val="00F27D97"/>
    <w:rsid w:val="00F30885"/>
    <w:rsid w:val="00F30FDD"/>
    <w:rsid w:val="00F31A0D"/>
    <w:rsid w:val="00F329D6"/>
    <w:rsid w:val="00F33AFE"/>
    <w:rsid w:val="00F3558D"/>
    <w:rsid w:val="00F3562F"/>
    <w:rsid w:val="00F36660"/>
    <w:rsid w:val="00F366E3"/>
    <w:rsid w:val="00F37519"/>
    <w:rsid w:val="00F37ECA"/>
    <w:rsid w:val="00F40B20"/>
    <w:rsid w:val="00F413AB"/>
    <w:rsid w:val="00F41665"/>
    <w:rsid w:val="00F43087"/>
    <w:rsid w:val="00F43B29"/>
    <w:rsid w:val="00F43F03"/>
    <w:rsid w:val="00F44BCE"/>
    <w:rsid w:val="00F466F9"/>
    <w:rsid w:val="00F47BD8"/>
    <w:rsid w:val="00F47D6E"/>
    <w:rsid w:val="00F5073C"/>
    <w:rsid w:val="00F511FA"/>
    <w:rsid w:val="00F52035"/>
    <w:rsid w:val="00F52120"/>
    <w:rsid w:val="00F53028"/>
    <w:rsid w:val="00F54910"/>
    <w:rsid w:val="00F56571"/>
    <w:rsid w:val="00F56B3C"/>
    <w:rsid w:val="00F618AD"/>
    <w:rsid w:val="00F61EEA"/>
    <w:rsid w:val="00F62001"/>
    <w:rsid w:val="00F622CA"/>
    <w:rsid w:val="00F62C82"/>
    <w:rsid w:val="00F62D37"/>
    <w:rsid w:val="00F6325F"/>
    <w:rsid w:val="00F637DD"/>
    <w:rsid w:val="00F63FCC"/>
    <w:rsid w:val="00F6558C"/>
    <w:rsid w:val="00F660B8"/>
    <w:rsid w:val="00F66BE6"/>
    <w:rsid w:val="00F66DAF"/>
    <w:rsid w:val="00F6796F"/>
    <w:rsid w:val="00F73595"/>
    <w:rsid w:val="00F7361E"/>
    <w:rsid w:val="00F73EBF"/>
    <w:rsid w:val="00F745AA"/>
    <w:rsid w:val="00F74D4B"/>
    <w:rsid w:val="00F764FE"/>
    <w:rsid w:val="00F76858"/>
    <w:rsid w:val="00F76BE6"/>
    <w:rsid w:val="00F77EAA"/>
    <w:rsid w:val="00F77EEE"/>
    <w:rsid w:val="00F81C3F"/>
    <w:rsid w:val="00F833BD"/>
    <w:rsid w:val="00F83782"/>
    <w:rsid w:val="00F8406C"/>
    <w:rsid w:val="00F84446"/>
    <w:rsid w:val="00F84DBC"/>
    <w:rsid w:val="00F85082"/>
    <w:rsid w:val="00F85CF4"/>
    <w:rsid w:val="00F86D9B"/>
    <w:rsid w:val="00F87188"/>
    <w:rsid w:val="00F8724A"/>
    <w:rsid w:val="00F9017D"/>
    <w:rsid w:val="00F905C7"/>
    <w:rsid w:val="00F92CE6"/>
    <w:rsid w:val="00F93FE2"/>
    <w:rsid w:val="00F940CB"/>
    <w:rsid w:val="00F9552A"/>
    <w:rsid w:val="00F95EFB"/>
    <w:rsid w:val="00F963A8"/>
    <w:rsid w:val="00F96907"/>
    <w:rsid w:val="00F9767F"/>
    <w:rsid w:val="00F97BF6"/>
    <w:rsid w:val="00FA0350"/>
    <w:rsid w:val="00FA17F3"/>
    <w:rsid w:val="00FA27F3"/>
    <w:rsid w:val="00FA3DF2"/>
    <w:rsid w:val="00FA5880"/>
    <w:rsid w:val="00FA613C"/>
    <w:rsid w:val="00FB2CA0"/>
    <w:rsid w:val="00FB393E"/>
    <w:rsid w:val="00FB3D07"/>
    <w:rsid w:val="00FB410B"/>
    <w:rsid w:val="00FB416D"/>
    <w:rsid w:val="00FB460B"/>
    <w:rsid w:val="00FB4E17"/>
    <w:rsid w:val="00FB6D45"/>
    <w:rsid w:val="00FB7F82"/>
    <w:rsid w:val="00FB7FCF"/>
    <w:rsid w:val="00FC11A1"/>
    <w:rsid w:val="00FC1DF5"/>
    <w:rsid w:val="00FC259E"/>
    <w:rsid w:val="00FC38C7"/>
    <w:rsid w:val="00FC39B8"/>
    <w:rsid w:val="00FC46C9"/>
    <w:rsid w:val="00FC4A74"/>
    <w:rsid w:val="00FC6570"/>
    <w:rsid w:val="00FC6F6A"/>
    <w:rsid w:val="00FC71FA"/>
    <w:rsid w:val="00FD0907"/>
    <w:rsid w:val="00FD1F4F"/>
    <w:rsid w:val="00FD47BA"/>
    <w:rsid w:val="00FD51EA"/>
    <w:rsid w:val="00FD52E3"/>
    <w:rsid w:val="00FD659D"/>
    <w:rsid w:val="00FD717C"/>
    <w:rsid w:val="00FD7D79"/>
    <w:rsid w:val="00FE03EC"/>
    <w:rsid w:val="00FE1463"/>
    <w:rsid w:val="00FE1EBF"/>
    <w:rsid w:val="00FE251A"/>
    <w:rsid w:val="00FE2DE3"/>
    <w:rsid w:val="00FE5597"/>
    <w:rsid w:val="00FE75AA"/>
    <w:rsid w:val="00FE77F0"/>
    <w:rsid w:val="00FE7CC6"/>
    <w:rsid w:val="00FF0460"/>
    <w:rsid w:val="00FF18E7"/>
    <w:rsid w:val="00FF1B0B"/>
    <w:rsid w:val="00FF484A"/>
    <w:rsid w:val="00FF4F49"/>
    <w:rsid w:val="00FF52B0"/>
    <w:rsid w:val="00FF5ABF"/>
    <w:rsid w:val="00FF5EAE"/>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3CB2869E"/>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Proposal">
    <w:name w:val="Proposal"/>
    <w:basedOn w:val="a"/>
    <w:qFormat/>
    <w:rsid w:val="00174964"/>
    <w:pPr>
      <w:numPr>
        <w:numId w:val="7"/>
      </w:numPr>
      <w:overflowPunct w:val="0"/>
      <w:autoSpaceDE w:val="0"/>
      <w:autoSpaceDN w:val="0"/>
      <w:adjustRightInd w:val="0"/>
      <w:spacing w:after="120" w:line="240" w:lineRule="auto"/>
      <w:jc w:val="both"/>
      <w:textAlignment w:val="baseline"/>
    </w:pPr>
    <w:rPr>
      <w:rFonts w:ascii="Arial" w:eastAsia="Wingdings" w:hAnsi="Arial" w:cs="Times New Roman"/>
      <w:b/>
      <w:bCs/>
      <w:sz w:val="20"/>
      <w:szCs w:val="20"/>
      <w:lang w:val="x-none" w:eastAsia="x-none"/>
    </w:rPr>
  </w:style>
  <w:style w:type="character" w:customStyle="1" w:styleId="NOZchn">
    <w:name w:val="NO Zchn"/>
    <w:locked/>
    <w:rsid w:val="00174964"/>
    <w:rPr>
      <w:rFonts w:ascii="Times New Roman" w:hAnsi="Times New Roman"/>
      <w:lang w:val="en-GB" w:eastAsia="en-US"/>
    </w:rPr>
  </w:style>
  <w:style w:type="paragraph" w:customStyle="1" w:styleId="PL">
    <w:name w:val="PL"/>
    <w:link w:val="PLChar"/>
    <w:qFormat/>
    <w:rsid w:val="00B5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qFormat/>
    <w:rsid w:val="00B51B0D"/>
    <w:rPr>
      <w:rFonts w:ascii="Courier New" w:eastAsia="Times New Roman" w:hAnsi="Courier New" w:cs="Times New Roman"/>
      <w:sz w:val="16"/>
      <w:szCs w:val="20"/>
      <w:shd w:val="clear" w:color="auto" w:fill="E6E6E6"/>
      <w:lang w:val="en-GB" w:eastAsia="en-GB"/>
    </w:rPr>
  </w:style>
  <w:style w:type="character" w:customStyle="1" w:styleId="B1Char1">
    <w:name w:val="B1 Char1"/>
    <w:qFormat/>
    <w:rsid w:val="00B51B0D"/>
    <w:rPr>
      <w:rFonts w:eastAsia="Times New Roman"/>
    </w:rPr>
  </w:style>
  <w:style w:type="paragraph" w:customStyle="1" w:styleId="TH">
    <w:name w:val="TH"/>
    <w:basedOn w:val="a"/>
    <w:link w:val="THChar"/>
    <w:qFormat/>
    <w:rsid w:val="00B51B0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zh-CN" w:eastAsia="zh-CN"/>
    </w:rPr>
  </w:style>
  <w:style w:type="character" w:customStyle="1" w:styleId="THChar">
    <w:name w:val="TH Char"/>
    <w:link w:val="TH"/>
    <w:qFormat/>
    <w:rsid w:val="00B51B0D"/>
    <w:rPr>
      <w:rFonts w:ascii="Arial" w:eastAsia="Times New Roman" w:hAnsi="Arial" w:cs="Times New Roman"/>
      <w:b/>
      <w:sz w:val="20"/>
      <w:szCs w:val="20"/>
      <w:lang w:val="zh-CN" w:eastAsia="zh-CN"/>
    </w:rPr>
  </w:style>
  <w:style w:type="character" w:customStyle="1" w:styleId="TALCar">
    <w:name w:val="TAL Car"/>
    <w:qFormat/>
    <w:rsid w:val="00B51B0D"/>
    <w:rPr>
      <w:rFonts w:ascii="Arial" w:eastAsia="Times New Roman" w:hAnsi="Arial"/>
      <w:sz w:val="18"/>
    </w:rPr>
  </w:style>
  <w:style w:type="character" w:customStyle="1" w:styleId="TAHCar">
    <w:name w:val="TAH Car"/>
    <w:link w:val="TAH"/>
    <w:qFormat/>
    <w:locked/>
    <w:rsid w:val="00B51B0D"/>
    <w:rPr>
      <w:rFonts w:ascii="Arial" w:eastAsia="Times New Roman" w:hAnsi="Arial" w:cs="Times New Roman"/>
      <w:b/>
      <w:sz w:val="18"/>
      <w:szCs w:val="20"/>
      <w:lang w:val="en-GB"/>
    </w:rPr>
  </w:style>
  <w:style w:type="paragraph" w:customStyle="1" w:styleId="B2">
    <w:name w:val="B2"/>
    <w:basedOn w:val="21"/>
    <w:link w:val="B2Char"/>
    <w:qFormat/>
    <w:rsid w:val="001B1785"/>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Times New Roman" w:hAnsi="Times New Roman" w:cs="Times New Roman"/>
      <w:sz w:val="20"/>
      <w:szCs w:val="20"/>
      <w:lang w:val="zh-CN" w:eastAsia="zh-CN"/>
    </w:rPr>
  </w:style>
  <w:style w:type="character" w:customStyle="1" w:styleId="B2Char">
    <w:name w:val="B2 Char"/>
    <w:link w:val="B2"/>
    <w:qFormat/>
    <w:rsid w:val="001B1785"/>
    <w:rPr>
      <w:rFonts w:ascii="Times New Roman" w:eastAsia="Times New Roman" w:hAnsi="Times New Roman" w:cs="Times New Roman"/>
      <w:sz w:val="20"/>
      <w:szCs w:val="20"/>
      <w:lang w:val="zh-CN" w:eastAsia="zh-CN"/>
    </w:rPr>
  </w:style>
  <w:style w:type="paragraph" w:styleId="21">
    <w:name w:val="List 2"/>
    <w:basedOn w:val="a"/>
    <w:uiPriority w:val="99"/>
    <w:semiHidden/>
    <w:unhideWhenUsed/>
    <w:rsid w:val="001B178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434252346">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03152387">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33317805">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52860088">
      <w:bodyDiv w:val="1"/>
      <w:marLeft w:val="0"/>
      <w:marRight w:val="0"/>
      <w:marTop w:val="0"/>
      <w:marBottom w:val="0"/>
      <w:divBdr>
        <w:top w:val="none" w:sz="0" w:space="0" w:color="auto"/>
        <w:left w:val="none" w:sz="0" w:space="0" w:color="auto"/>
        <w:bottom w:val="none" w:sz="0" w:space="0" w:color="auto"/>
        <w:right w:val="none" w:sz="0" w:space="0" w:color="auto"/>
      </w:divBdr>
      <w:divsChild>
        <w:div w:id="135924398">
          <w:marLeft w:val="0"/>
          <w:marRight w:val="0"/>
          <w:marTop w:val="0"/>
          <w:marBottom w:val="0"/>
          <w:divBdr>
            <w:top w:val="none" w:sz="0" w:space="0" w:color="auto"/>
            <w:left w:val="none" w:sz="0" w:space="0" w:color="auto"/>
            <w:bottom w:val="none" w:sz="0" w:space="0" w:color="auto"/>
            <w:right w:val="none" w:sz="0" w:space="0" w:color="auto"/>
          </w:divBdr>
          <w:divsChild>
            <w:div w:id="922177181">
              <w:marLeft w:val="0"/>
              <w:marRight w:val="0"/>
              <w:marTop w:val="0"/>
              <w:marBottom w:val="0"/>
              <w:divBdr>
                <w:top w:val="none" w:sz="0" w:space="0" w:color="auto"/>
                <w:left w:val="none" w:sz="0" w:space="0" w:color="auto"/>
                <w:bottom w:val="none" w:sz="0" w:space="0" w:color="auto"/>
                <w:right w:val="none" w:sz="0" w:space="0" w:color="auto"/>
              </w:divBdr>
              <w:divsChild>
                <w:div w:id="60980401">
                  <w:marLeft w:val="0"/>
                  <w:marRight w:val="0"/>
                  <w:marTop w:val="0"/>
                  <w:marBottom w:val="0"/>
                  <w:divBdr>
                    <w:top w:val="none" w:sz="0" w:space="0" w:color="auto"/>
                    <w:left w:val="none" w:sz="0" w:space="0" w:color="auto"/>
                    <w:bottom w:val="none" w:sz="0" w:space="0" w:color="auto"/>
                    <w:right w:val="none" w:sz="0" w:space="0" w:color="auto"/>
                  </w:divBdr>
                  <w:divsChild>
                    <w:div w:id="1200780586">
                      <w:marLeft w:val="0"/>
                      <w:marRight w:val="0"/>
                      <w:marTop w:val="0"/>
                      <w:marBottom w:val="0"/>
                      <w:divBdr>
                        <w:top w:val="none" w:sz="0" w:space="0" w:color="auto"/>
                        <w:left w:val="none" w:sz="0" w:space="0" w:color="auto"/>
                        <w:bottom w:val="none" w:sz="0" w:space="0" w:color="auto"/>
                        <w:right w:val="none" w:sz="0" w:space="0" w:color="auto"/>
                      </w:divBdr>
                      <w:divsChild>
                        <w:div w:id="69901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94341">
              <w:marLeft w:val="0"/>
              <w:marRight w:val="0"/>
              <w:marTop w:val="0"/>
              <w:marBottom w:val="0"/>
              <w:divBdr>
                <w:top w:val="none" w:sz="0" w:space="0" w:color="auto"/>
                <w:left w:val="none" w:sz="0" w:space="0" w:color="auto"/>
                <w:bottom w:val="none" w:sz="0" w:space="0" w:color="auto"/>
                <w:right w:val="none" w:sz="0" w:space="0" w:color="auto"/>
              </w:divBdr>
            </w:div>
            <w:div w:id="1446196210">
              <w:marLeft w:val="0"/>
              <w:marRight w:val="0"/>
              <w:marTop w:val="0"/>
              <w:marBottom w:val="0"/>
              <w:divBdr>
                <w:top w:val="none" w:sz="0" w:space="0" w:color="auto"/>
                <w:left w:val="none" w:sz="0" w:space="0" w:color="auto"/>
                <w:bottom w:val="none" w:sz="0" w:space="0" w:color="auto"/>
                <w:right w:val="none" w:sz="0" w:space="0" w:color="auto"/>
              </w:divBdr>
              <w:divsChild>
                <w:div w:id="855458452">
                  <w:marLeft w:val="0"/>
                  <w:marRight w:val="0"/>
                  <w:marTop w:val="0"/>
                  <w:marBottom w:val="0"/>
                  <w:divBdr>
                    <w:top w:val="none" w:sz="0" w:space="0" w:color="auto"/>
                    <w:left w:val="none" w:sz="0" w:space="0" w:color="auto"/>
                    <w:bottom w:val="none" w:sz="0" w:space="0" w:color="auto"/>
                    <w:right w:val="none" w:sz="0" w:space="0" w:color="auto"/>
                  </w:divBdr>
                  <w:divsChild>
                    <w:div w:id="2059012652">
                      <w:marLeft w:val="0"/>
                      <w:marRight w:val="0"/>
                      <w:marTop w:val="0"/>
                      <w:marBottom w:val="0"/>
                      <w:divBdr>
                        <w:top w:val="none" w:sz="0" w:space="0" w:color="auto"/>
                        <w:left w:val="none" w:sz="0" w:space="0" w:color="auto"/>
                        <w:bottom w:val="none" w:sz="0" w:space="0" w:color="auto"/>
                        <w:right w:val="none" w:sz="0" w:space="0" w:color="auto"/>
                      </w:divBdr>
                      <w:divsChild>
                        <w:div w:id="1213997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955432">
              <w:marLeft w:val="0"/>
              <w:marRight w:val="0"/>
              <w:marTop w:val="0"/>
              <w:marBottom w:val="0"/>
              <w:divBdr>
                <w:top w:val="none" w:sz="0" w:space="0" w:color="auto"/>
                <w:left w:val="none" w:sz="0" w:space="0" w:color="auto"/>
                <w:bottom w:val="none" w:sz="0" w:space="0" w:color="auto"/>
                <w:right w:val="none" w:sz="0" w:space="0" w:color="auto"/>
              </w:divBdr>
            </w:div>
            <w:div w:id="964581402">
              <w:marLeft w:val="0"/>
              <w:marRight w:val="0"/>
              <w:marTop w:val="0"/>
              <w:marBottom w:val="0"/>
              <w:divBdr>
                <w:top w:val="none" w:sz="0" w:space="0" w:color="auto"/>
                <w:left w:val="none" w:sz="0" w:space="0" w:color="auto"/>
                <w:bottom w:val="none" w:sz="0" w:space="0" w:color="auto"/>
                <w:right w:val="none" w:sz="0" w:space="0" w:color="auto"/>
              </w:divBdr>
              <w:divsChild>
                <w:div w:id="806317455">
                  <w:marLeft w:val="0"/>
                  <w:marRight w:val="0"/>
                  <w:marTop w:val="0"/>
                  <w:marBottom w:val="0"/>
                  <w:divBdr>
                    <w:top w:val="none" w:sz="0" w:space="0" w:color="auto"/>
                    <w:left w:val="none" w:sz="0" w:space="0" w:color="auto"/>
                    <w:bottom w:val="none" w:sz="0" w:space="0" w:color="auto"/>
                    <w:right w:val="none" w:sz="0" w:space="0" w:color="auto"/>
                  </w:divBdr>
                  <w:divsChild>
                    <w:div w:id="1368873261">
                      <w:marLeft w:val="0"/>
                      <w:marRight w:val="0"/>
                      <w:marTop w:val="0"/>
                      <w:marBottom w:val="0"/>
                      <w:divBdr>
                        <w:top w:val="none" w:sz="0" w:space="0" w:color="auto"/>
                        <w:left w:val="none" w:sz="0" w:space="0" w:color="auto"/>
                        <w:bottom w:val="none" w:sz="0" w:space="0" w:color="auto"/>
                        <w:right w:val="none" w:sz="0" w:space="0" w:color="auto"/>
                      </w:divBdr>
                      <w:divsChild>
                        <w:div w:id="89570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456557">
              <w:marLeft w:val="0"/>
              <w:marRight w:val="0"/>
              <w:marTop w:val="0"/>
              <w:marBottom w:val="0"/>
              <w:divBdr>
                <w:top w:val="none" w:sz="0" w:space="0" w:color="auto"/>
                <w:left w:val="none" w:sz="0" w:space="0" w:color="auto"/>
                <w:bottom w:val="none" w:sz="0" w:space="0" w:color="auto"/>
                <w:right w:val="none" w:sz="0" w:space="0" w:color="auto"/>
              </w:divBdr>
            </w:div>
            <w:div w:id="2048750873">
              <w:marLeft w:val="0"/>
              <w:marRight w:val="0"/>
              <w:marTop w:val="0"/>
              <w:marBottom w:val="0"/>
              <w:divBdr>
                <w:top w:val="none" w:sz="0" w:space="0" w:color="auto"/>
                <w:left w:val="none" w:sz="0" w:space="0" w:color="auto"/>
                <w:bottom w:val="none" w:sz="0" w:space="0" w:color="auto"/>
                <w:right w:val="none" w:sz="0" w:space="0" w:color="auto"/>
              </w:divBdr>
              <w:divsChild>
                <w:div w:id="1665627110">
                  <w:marLeft w:val="0"/>
                  <w:marRight w:val="0"/>
                  <w:marTop w:val="0"/>
                  <w:marBottom w:val="0"/>
                  <w:divBdr>
                    <w:top w:val="none" w:sz="0" w:space="0" w:color="auto"/>
                    <w:left w:val="none" w:sz="0" w:space="0" w:color="auto"/>
                    <w:bottom w:val="none" w:sz="0" w:space="0" w:color="auto"/>
                    <w:right w:val="none" w:sz="0" w:space="0" w:color="auto"/>
                  </w:divBdr>
                  <w:divsChild>
                    <w:div w:id="1785613630">
                      <w:marLeft w:val="0"/>
                      <w:marRight w:val="0"/>
                      <w:marTop w:val="0"/>
                      <w:marBottom w:val="0"/>
                      <w:divBdr>
                        <w:top w:val="none" w:sz="0" w:space="0" w:color="auto"/>
                        <w:left w:val="none" w:sz="0" w:space="0" w:color="auto"/>
                        <w:bottom w:val="none" w:sz="0" w:space="0" w:color="auto"/>
                        <w:right w:val="none" w:sz="0" w:space="0" w:color="auto"/>
                      </w:divBdr>
                      <w:divsChild>
                        <w:div w:id="208282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8286">
              <w:marLeft w:val="0"/>
              <w:marRight w:val="0"/>
              <w:marTop w:val="0"/>
              <w:marBottom w:val="0"/>
              <w:divBdr>
                <w:top w:val="none" w:sz="0" w:space="0" w:color="auto"/>
                <w:left w:val="none" w:sz="0" w:space="0" w:color="auto"/>
                <w:bottom w:val="none" w:sz="0" w:space="0" w:color="auto"/>
                <w:right w:val="none" w:sz="0" w:space="0" w:color="auto"/>
              </w:divBdr>
            </w:div>
            <w:div w:id="921179308">
              <w:marLeft w:val="0"/>
              <w:marRight w:val="0"/>
              <w:marTop w:val="0"/>
              <w:marBottom w:val="0"/>
              <w:divBdr>
                <w:top w:val="none" w:sz="0" w:space="0" w:color="auto"/>
                <w:left w:val="none" w:sz="0" w:space="0" w:color="auto"/>
                <w:bottom w:val="none" w:sz="0" w:space="0" w:color="auto"/>
                <w:right w:val="none" w:sz="0" w:space="0" w:color="auto"/>
              </w:divBdr>
              <w:divsChild>
                <w:div w:id="1820684107">
                  <w:marLeft w:val="0"/>
                  <w:marRight w:val="0"/>
                  <w:marTop w:val="0"/>
                  <w:marBottom w:val="0"/>
                  <w:divBdr>
                    <w:top w:val="none" w:sz="0" w:space="0" w:color="auto"/>
                    <w:left w:val="none" w:sz="0" w:space="0" w:color="auto"/>
                    <w:bottom w:val="none" w:sz="0" w:space="0" w:color="auto"/>
                    <w:right w:val="none" w:sz="0" w:space="0" w:color="auto"/>
                  </w:divBdr>
                  <w:divsChild>
                    <w:div w:id="1272665891">
                      <w:marLeft w:val="0"/>
                      <w:marRight w:val="0"/>
                      <w:marTop w:val="0"/>
                      <w:marBottom w:val="0"/>
                      <w:divBdr>
                        <w:top w:val="none" w:sz="0" w:space="0" w:color="auto"/>
                        <w:left w:val="none" w:sz="0" w:space="0" w:color="auto"/>
                        <w:bottom w:val="none" w:sz="0" w:space="0" w:color="auto"/>
                        <w:right w:val="none" w:sz="0" w:space="0" w:color="auto"/>
                      </w:divBdr>
                      <w:divsChild>
                        <w:div w:id="69804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14345">
              <w:marLeft w:val="0"/>
              <w:marRight w:val="0"/>
              <w:marTop w:val="0"/>
              <w:marBottom w:val="0"/>
              <w:divBdr>
                <w:top w:val="none" w:sz="0" w:space="0" w:color="auto"/>
                <w:left w:val="none" w:sz="0" w:space="0" w:color="auto"/>
                <w:bottom w:val="none" w:sz="0" w:space="0" w:color="auto"/>
                <w:right w:val="none" w:sz="0" w:space="0" w:color="auto"/>
              </w:divBdr>
            </w:div>
            <w:div w:id="886062678">
              <w:marLeft w:val="0"/>
              <w:marRight w:val="0"/>
              <w:marTop w:val="0"/>
              <w:marBottom w:val="0"/>
              <w:divBdr>
                <w:top w:val="none" w:sz="0" w:space="0" w:color="auto"/>
                <w:left w:val="none" w:sz="0" w:space="0" w:color="auto"/>
                <w:bottom w:val="none" w:sz="0" w:space="0" w:color="auto"/>
                <w:right w:val="none" w:sz="0" w:space="0" w:color="auto"/>
              </w:divBdr>
              <w:divsChild>
                <w:div w:id="423460120">
                  <w:marLeft w:val="0"/>
                  <w:marRight w:val="0"/>
                  <w:marTop w:val="0"/>
                  <w:marBottom w:val="0"/>
                  <w:divBdr>
                    <w:top w:val="none" w:sz="0" w:space="0" w:color="auto"/>
                    <w:left w:val="none" w:sz="0" w:space="0" w:color="auto"/>
                    <w:bottom w:val="none" w:sz="0" w:space="0" w:color="auto"/>
                    <w:right w:val="none" w:sz="0" w:space="0" w:color="auto"/>
                  </w:divBdr>
                  <w:divsChild>
                    <w:div w:id="184681536">
                      <w:marLeft w:val="0"/>
                      <w:marRight w:val="0"/>
                      <w:marTop w:val="0"/>
                      <w:marBottom w:val="0"/>
                      <w:divBdr>
                        <w:top w:val="none" w:sz="0" w:space="0" w:color="auto"/>
                        <w:left w:val="none" w:sz="0" w:space="0" w:color="auto"/>
                        <w:bottom w:val="none" w:sz="0" w:space="0" w:color="auto"/>
                        <w:right w:val="none" w:sz="0" w:space="0" w:color="auto"/>
                      </w:divBdr>
                      <w:divsChild>
                        <w:div w:id="1324510666">
                          <w:marLeft w:val="0"/>
                          <w:marRight w:val="0"/>
                          <w:marTop w:val="0"/>
                          <w:marBottom w:val="0"/>
                          <w:divBdr>
                            <w:top w:val="none" w:sz="0" w:space="0" w:color="auto"/>
                            <w:left w:val="none" w:sz="0" w:space="0" w:color="auto"/>
                            <w:bottom w:val="none" w:sz="0" w:space="0" w:color="auto"/>
                            <w:right w:val="none" w:sz="0" w:space="0" w:color="auto"/>
                          </w:divBdr>
                          <w:divsChild>
                            <w:div w:id="911819012">
                              <w:marLeft w:val="0"/>
                              <w:marRight w:val="0"/>
                              <w:marTop w:val="0"/>
                              <w:marBottom w:val="0"/>
                              <w:divBdr>
                                <w:top w:val="none" w:sz="0" w:space="0" w:color="auto"/>
                                <w:left w:val="none" w:sz="0" w:space="0" w:color="auto"/>
                                <w:bottom w:val="none" w:sz="0" w:space="0" w:color="auto"/>
                                <w:right w:val="none" w:sz="0" w:space="0" w:color="auto"/>
                              </w:divBdr>
                              <w:divsChild>
                                <w:div w:id="43301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A108D-214E-4868-ACD9-03245FA55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923</Words>
  <Characters>5263</Characters>
  <Application>Microsoft Office Word</Application>
  <DocSecurity>0</DocSecurity>
  <Lines>43</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李 ヤンウェイ</cp:lastModifiedBy>
  <cp:revision>8</cp:revision>
  <cp:lastPrinted>2018-04-02T06:42:00Z</cp:lastPrinted>
  <dcterms:created xsi:type="dcterms:W3CDTF">2021-05-07T00:05:00Z</dcterms:created>
  <dcterms:modified xsi:type="dcterms:W3CDTF">2021-05-07T04:04:00Z</dcterms:modified>
</cp:coreProperties>
</file>